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1004B" w14:textId="77777777" w:rsidR="009D5EC2" w:rsidRDefault="009D5EC2">
      <w:pPr>
        <w:pStyle w:val="NormalRight"/>
        <w:rPr>
          <w:b/>
          <w:bCs/>
        </w:rPr>
      </w:pPr>
      <w:r>
        <w:rPr>
          <w:b/>
          <w:bCs/>
        </w:rPr>
        <w:t>1 priedėlis.</w:t>
      </w:r>
    </w:p>
    <w:p w14:paraId="7FE53FC5" w14:textId="77777777" w:rsidR="009D5EC2" w:rsidRDefault="009D5EC2">
      <w:pPr>
        <w:pStyle w:val="NormalCentered"/>
      </w:pPr>
      <w:r>
        <w:t>Sąjungos įnašas vieneto įkainių, fiksuotųjų sumų ir fiksuotųjų normų pagrindu</w:t>
      </w:r>
    </w:p>
    <w:p w14:paraId="18CC5298" w14:textId="77777777" w:rsidR="009D5EC2" w:rsidRDefault="009D5EC2">
      <w:pPr>
        <w:pStyle w:val="NormalCentered"/>
      </w:pPr>
      <w:r>
        <w:t>Duomenų teikimo Komisijai nagrinėti šablonas</w:t>
      </w:r>
      <w:r>
        <w:br/>
        <w:t>(94 straipsnis)</w:t>
      </w:r>
    </w:p>
    <w:tbl>
      <w:tblPr>
        <w:tblW w:w="9288" w:type="dxa"/>
        <w:tblInd w:w="-113" w:type="dxa"/>
        <w:tblLayout w:type="fixed"/>
        <w:tblLook w:val="04A0" w:firstRow="1" w:lastRow="0" w:firstColumn="1" w:lastColumn="0" w:noHBand="0" w:noVBand="1"/>
      </w:tblPr>
      <w:tblGrid>
        <w:gridCol w:w="4644"/>
        <w:gridCol w:w="4644"/>
      </w:tblGrid>
      <w:tr w:rsidR="00CE1280" w14:paraId="386DDD78" w14:textId="77777777">
        <w:tc>
          <w:tcPr>
            <w:tcW w:w="4644" w:type="dxa"/>
            <w:tcBorders>
              <w:top w:val="single" w:sz="4" w:space="0" w:color="000000"/>
              <w:left w:val="single" w:sz="4" w:space="0" w:color="000000"/>
              <w:bottom w:val="single" w:sz="4" w:space="0" w:color="000000"/>
              <w:right w:val="single" w:sz="4" w:space="0" w:color="000000"/>
            </w:tcBorders>
          </w:tcPr>
          <w:p w14:paraId="71894597" w14:textId="77777777" w:rsidR="009D5EC2" w:rsidRDefault="009D5EC2">
            <w:pPr>
              <w:spacing w:before="60" w:after="60" w:line="240" w:lineRule="auto"/>
            </w:pPr>
            <w:r>
              <w:t>Pasiūlymo pateikimo data</w:t>
            </w:r>
          </w:p>
        </w:tc>
        <w:tc>
          <w:tcPr>
            <w:tcW w:w="4644" w:type="dxa"/>
            <w:tcBorders>
              <w:top w:val="single" w:sz="4" w:space="0" w:color="000000"/>
              <w:left w:val="single" w:sz="4" w:space="0" w:color="000000"/>
              <w:bottom w:val="single" w:sz="4" w:space="0" w:color="000000"/>
              <w:right w:val="single" w:sz="4" w:space="0" w:color="000000"/>
            </w:tcBorders>
          </w:tcPr>
          <w:p w14:paraId="3A3FB0C9" w14:textId="77777777" w:rsidR="009D5EC2" w:rsidRDefault="009D5EC2">
            <w:pPr>
              <w:snapToGrid w:val="0"/>
              <w:spacing w:before="60" w:after="60" w:line="240" w:lineRule="auto"/>
            </w:pPr>
          </w:p>
        </w:tc>
      </w:tr>
      <w:tr w:rsidR="00CE1280" w14:paraId="16430914" w14:textId="77777777">
        <w:tc>
          <w:tcPr>
            <w:tcW w:w="4644" w:type="dxa"/>
            <w:tcBorders>
              <w:top w:val="single" w:sz="4" w:space="0" w:color="000000"/>
              <w:left w:val="single" w:sz="4" w:space="0" w:color="000000"/>
              <w:bottom w:val="single" w:sz="4" w:space="0" w:color="000000"/>
              <w:right w:val="single" w:sz="4" w:space="0" w:color="000000"/>
            </w:tcBorders>
          </w:tcPr>
          <w:p w14:paraId="69D62540" w14:textId="77777777" w:rsidR="009D5EC2" w:rsidRDefault="009D5EC2">
            <w:pPr>
              <w:snapToGrid w:val="0"/>
              <w:spacing w:before="60" w:after="60" w:line="240" w:lineRule="auto"/>
            </w:pPr>
          </w:p>
        </w:tc>
        <w:tc>
          <w:tcPr>
            <w:tcW w:w="4644" w:type="dxa"/>
            <w:tcBorders>
              <w:top w:val="single" w:sz="4" w:space="0" w:color="000000"/>
              <w:left w:val="single" w:sz="4" w:space="0" w:color="000000"/>
              <w:bottom w:val="single" w:sz="4" w:space="0" w:color="000000"/>
              <w:right w:val="single" w:sz="4" w:space="0" w:color="000000"/>
            </w:tcBorders>
          </w:tcPr>
          <w:p w14:paraId="575FEE3A" w14:textId="77777777" w:rsidR="009D5EC2" w:rsidRDefault="009D5EC2">
            <w:pPr>
              <w:snapToGrid w:val="0"/>
              <w:spacing w:before="60" w:after="60" w:line="240" w:lineRule="auto"/>
            </w:pPr>
          </w:p>
        </w:tc>
      </w:tr>
    </w:tbl>
    <w:p w14:paraId="24C00E39" w14:textId="77777777" w:rsidR="009D5EC2" w:rsidRDefault="009D5EC2"/>
    <w:p w14:paraId="76EE5EE5" w14:textId="77777777" w:rsidR="009D5EC2" w:rsidRDefault="009D5EC2">
      <w:r>
        <w:t>Šis priedėlis nebūtinas, jeigu ES lygmeniu taikomas supaprastintas išlaidų apmokėjimas, nustatytas 94 straipsnio 4 dalyje nurodytu deleguotuoju aktu.</w:t>
      </w:r>
    </w:p>
    <w:p w14:paraId="31BB6E41" w14:textId="77777777" w:rsidR="009D5EC2" w:rsidRDefault="009D5EC2">
      <w:pPr>
        <w:pStyle w:val="Point0"/>
      </w:pPr>
    </w:p>
    <w:p w14:paraId="7E817F36" w14:textId="77777777" w:rsidR="009D5EC2" w:rsidRDefault="009D5EC2"/>
    <w:p w14:paraId="48FA4562" w14:textId="77777777" w:rsidR="009D5EC2" w:rsidRDefault="009D5EC2"/>
    <w:p w14:paraId="4444A9BA" w14:textId="77777777" w:rsidR="009D5EC2" w:rsidRDefault="009D5EC2">
      <w:pPr>
        <w:pStyle w:val="Point0"/>
        <w:tabs>
          <w:tab w:val="left" w:pos="1134"/>
        </w:tabs>
        <w:ind w:left="567" w:hanging="567"/>
        <w:jc w:val="both"/>
      </w:pPr>
      <w:r>
        <w:tab/>
      </w:r>
      <w:r>
        <w:tab/>
      </w:r>
      <w:r>
        <w:br w:type="page"/>
      </w:r>
    </w:p>
    <w:p w14:paraId="19301858" w14:textId="77777777" w:rsidR="009D5EC2" w:rsidRDefault="009D5EC2">
      <w:pPr>
        <w:pStyle w:val="Point0"/>
        <w:tabs>
          <w:tab w:val="left" w:pos="1134"/>
        </w:tabs>
        <w:ind w:left="567" w:hanging="567"/>
        <w:jc w:val="both"/>
      </w:pPr>
      <w:r>
        <w:lastRenderedPageBreak/>
        <w:t>A.</w:t>
      </w:r>
      <w:r>
        <w:tab/>
        <w:t>Pagrindinių elementų santrauka</w:t>
      </w:r>
    </w:p>
    <w:p w14:paraId="65229E4A" w14:textId="77777777" w:rsidR="009D5EC2" w:rsidRDefault="009D5EC2">
      <w:pPr>
        <w:pStyle w:val="Point0"/>
      </w:pPr>
    </w:p>
    <w:tbl>
      <w:tblPr>
        <w:tblW w:w="5000" w:type="pct"/>
        <w:tblInd w:w="-113" w:type="dxa"/>
        <w:tblLayout w:type="fixed"/>
        <w:tblLook w:val="04A0" w:firstRow="1" w:lastRow="0" w:firstColumn="1" w:lastColumn="0" w:noHBand="0" w:noVBand="1"/>
      </w:tblPr>
      <w:tblGrid>
        <w:gridCol w:w="1242"/>
        <w:gridCol w:w="740"/>
        <w:gridCol w:w="1954"/>
        <w:gridCol w:w="1162"/>
        <w:gridCol w:w="1700"/>
        <w:gridCol w:w="823"/>
        <w:gridCol w:w="1276"/>
        <w:gridCol w:w="850"/>
        <w:gridCol w:w="1162"/>
        <w:gridCol w:w="992"/>
        <w:gridCol w:w="1275"/>
        <w:gridCol w:w="1384"/>
      </w:tblGrid>
      <w:tr w:rsidR="00CE1280" w14:paraId="1E7EC57B" w14:textId="77777777" w:rsidTr="00923506">
        <w:tc>
          <w:tcPr>
            <w:tcW w:w="1242" w:type="dxa"/>
            <w:tcBorders>
              <w:top w:val="single" w:sz="4" w:space="0" w:color="000000"/>
              <w:left w:val="single" w:sz="4" w:space="0" w:color="000000"/>
              <w:bottom w:val="single" w:sz="4" w:space="0" w:color="000000"/>
              <w:right w:val="single" w:sz="4" w:space="0" w:color="000000"/>
            </w:tcBorders>
            <w:vAlign w:val="center"/>
          </w:tcPr>
          <w:p w14:paraId="7C1F712B" w14:textId="77777777" w:rsidR="009D5EC2" w:rsidRDefault="009D5EC2">
            <w:pPr>
              <w:spacing w:before="60" w:after="60" w:line="240" w:lineRule="auto"/>
              <w:jc w:val="center"/>
              <w:rPr>
                <w:sz w:val="20"/>
                <w:szCs w:val="20"/>
              </w:rPr>
            </w:pPr>
            <w:r>
              <w:rPr>
                <w:sz w:val="20"/>
                <w:szCs w:val="20"/>
              </w:rPr>
              <w:t>Prioritetas</w:t>
            </w:r>
          </w:p>
        </w:tc>
        <w:tc>
          <w:tcPr>
            <w:tcW w:w="740" w:type="dxa"/>
            <w:tcBorders>
              <w:top w:val="single" w:sz="4" w:space="0" w:color="000000"/>
              <w:left w:val="single" w:sz="4" w:space="0" w:color="000000"/>
              <w:bottom w:val="single" w:sz="4" w:space="0" w:color="000000"/>
              <w:right w:val="single" w:sz="4" w:space="0" w:color="000000"/>
            </w:tcBorders>
            <w:vAlign w:val="center"/>
          </w:tcPr>
          <w:p w14:paraId="5D457B3A" w14:textId="77777777" w:rsidR="009D5EC2" w:rsidRDefault="009D5EC2">
            <w:pPr>
              <w:spacing w:before="60" w:after="60" w:line="240" w:lineRule="auto"/>
              <w:jc w:val="center"/>
              <w:rPr>
                <w:sz w:val="20"/>
                <w:szCs w:val="20"/>
              </w:rPr>
            </w:pPr>
            <w:r>
              <w:rPr>
                <w:sz w:val="20"/>
                <w:szCs w:val="20"/>
              </w:rPr>
              <w:t>Fondas</w:t>
            </w:r>
          </w:p>
        </w:tc>
        <w:tc>
          <w:tcPr>
            <w:tcW w:w="1954" w:type="dxa"/>
            <w:tcBorders>
              <w:top w:val="single" w:sz="4" w:space="0" w:color="000000"/>
              <w:left w:val="single" w:sz="4" w:space="0" w:color="000000"/>
              <w:bottom w:val="single" w:sz="4" w:space="0" w:color="000000"/>
              <w:right w:val="single" w:sz="4" w:space="0" w:color="000000"/>
            </w:tcBorders>
            <w:vAlign w:val="center"/>
          </w:tcPr>
          <w:p w14:paraId="4D953C9B" w14:textId="77777777" w:rsidR="009D5EC2" w:rsidRDefault="009D5EC2">
            <w:pPr>
              <w:spacing w:before="60" w:after="60" w:line="240" w:lineRule="auto"/>
              <w:jc w:val="center"/>
              <w:rPr>
                <w:sz w:val="20"/>
                <w:szCs w:val="20"/>
              </w:rPr>
            </w:pPr>
            <w:r>
              <w:rPr>
                <w:sz w:val="20"/>
                <w:szCs w:val="20"/>
              </w:rPr>
              <w:t>Konkretus tikslas</w:t>
            </w:r>
          </w:p>
        </w:tc>
        <w:tc>
          <w:tcPr>
            <w:tcW w:w="1162" w:type="dxa"/>
            <w:tcBorders>
              <w:top w:val="single" w:sz="4" w:space="0" w:color="000000"/>
              <w:left w:val="single" w:sz="4" w:space="0" w:color="000000"/>
              <w:bottom w:val="single" w:sz="4" w:space="0" w:color="000000"/>
              <w:right w:val="single" w:sz="4" w:space="0" w:color="000000"/>
            </w:tcBorders>
            <w:vAlign w:val="center"/>
          </w:tcPr>
          <w:p w14:paraId="7142ECA8" w14:textId="77777777" w:rsidR="009D5EC2" w:rsidRDefault="009D5EC2">
            <w:pPr>
              <w:spacing w:before="60" w:after="60" w:line="240" w:lineRule="auto"/>
              <w:jc w:val="center"/>
              <w:rPr>
                <w:sz w:val="20"/>
                <w:szCs w:val="20"/>
              </w:rPr>
            </w:pPr>
            <w:r>
              <w:rPr>
                <w:sz w:val="20"/>
                <w:szCs w:val="20"/>
              </w:rPr>
              <w:t>Regiono kategorija</w:t>
            </w:r>
          </w:p>
        </w:tc>
        <w:tc>
          <w:tcPr>
            <w:tcW w:w="1700" w:type="dxa"/>
            <w:tcBorders>
              <w:top w:val="single" w:sz="4" w:space="0" w:color="000000"/>
              <w:left w:val="single" w:sz="4" w:space="0" w:color="000000"/>
              <w:bottom w:val="single" w:sz="4" w:space="0" w:color="000000"/>
              <w:right w:val="single" w:sz="4" w:space="0" w:color="000000"/>
            </w:tcBorders>
            <w:vAlign w:val="center"/>
          </w:tcPr>
          <w:p w14:paraId="2F7DEDE1" w14:textId="77777777" w:rsidR="009D5EC2" w:rsidRDefault="009D5EC2">
            <w:pPr>
              <w:spacing w:before="60" w:after="60" w:line="240" w:lineRule="auto"/>
              <w:jc w:val="center"/>
            </w:pPr>
            <w:bookmarkStart w:id="0" w:name="_Hlk84860852"/>
            <w:r>
              <w:rPr>
                <w:sz w:val="20"/>
                <w:szCs w:val="20"/>
              </w:rPr>
              <w:t>Apskaičiuotoji viso finansinio asignavimo dalis prioritete, kuriai bus taikomas supaprastintas išlaidų apmokėjimas, %</w:t>
            </w:r>
            <w:bookmarkEnd w:id="0"/>
          </w:p>
        </w:tc>
        <w:tc>
          <w:tcPr>
            <w:tcW w:w="2099" w:type="dxa"/>
            <w:gridSpan w:val="2"/>
            <w:tcBorders>
              <w:top w:val="single" w:sz="4" w:space="0" w:color="000000"/>
              <w:left w:val="single" w:sz="4" w:space="0" w:color="000000"/>
              <w:bottom w:val="single" w:sz="4" w:space="0" w:color="000000"/>
              <w:right w:val="single" w:sz="4" w:space="0" w:color="000000"/>
            </w:tcBorders>
            <w:vAlign w:val="center"/>
          </w:tcPr>
          <w:p w14:paraId="0D1BAC87" w14:textId="77777777" w:rsidR="009D5EC2" w:rsidRDefault="009D5EC2">
            <w:pPr>
              <w:spacing w:before="60" w:after="60" w:line="240" w:lineRule="auto"/>
              <w:jc w:val="center"/>
              <w:rPr>
                <w:sz w:val="20"/>
                <w:szCs w:val="20"/>
              </w:rPr>
            </w:pPr>
            <w:r>
              <w:rPr>
                <w:sz w:val="20"/>
                <w:szCs w:val="20"/>
              </w:rPr>
              <w:t>Veiksmo, už kurį atlyginama, rūšis (-ys)</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14:paraId="79B67E12" w14:textId="77777777" w:rsidR="009D5EC2" w:rsidRDefault="009D5EC2">
            <w:pPr>
              <w:spacing w:before="60" w:after="60" w:line="240" w:lineRule="auto"/>
              <w:jc w:val="center"/>
              <w:rPr>
                <w:sz w:val="20"/>
                <w:szCs w:val="20"/>
              </w:rPr>
            </w:pPr>
            <w:r>
              <w:rPr>
                <w:sz w:val="20"/>
                <w:szCs w:val="20"/>
              </w:rPr>
              <w:t>Rodiklis, kurį pasiekus išlaidos yra atlyginamos</w:t>
            </w:r>
          </w:p>
        </w:tc>
        <w:tc>
          <w:tcPr>
            <w:tcW w:w="992" w:type="dxa"/>
            <w:tcBorders>
              <w:top w:val="single" w:sz="4" w:space="0" w:color="000000"/>
              <w:left w:val="single" w:sz="4" w:space="0" w:color="000000"/>
              <w:bottom w:val="single" w:sz="4" w:space="0" w:color="000000"/>
              <w:right w:val="single" w:sz="4" w:space="0" w:color="000000"/>
            </w:tcBorders>
            <w:vAlign w:val="center"/>
          </w:tcPr>
          <w:p w14:paraId="690F803B" w14:textId="77777777" w:rsidR="009D5EC2" w:rsidRDefault="009D5EC2">
            <w:pPr>
              <w:spacing w:before="60" w:after="60" w:line="240" w:lineRule="auto"/>
              <w:jc w:val="center"/>
              <w:rPr>
                <w:sz w:val="20"/>
                <w:szCs w:val="20"/>
              </w:rPr>
            </w:pPr>
            <w:r>
              <w:rPr>
                <w:sz w:val="20"/>
                <w:szCs w:val="20"/>
              </w:rPr>
              <w:t>Rodiklio, kurį pasiekus išlaidos yra atlyginamos, matavimo vienetas</w:t>
            </w:r>
          </w:p>
        </w:tc>
        <w:tc>
          <w:tcPr>
            <w:tcW w:w="1275" w:type="dxa"/>
            <w:tcBorders>
              <w:top w:val="single" w:sz="4" w:space="0" w:color="000000"/>
              <w:left w:val="single" w:sz="4" w:space="0" w:color="000000"/>
              <w:bottom w:val="single" w:sz="4" w:space="0" w:color="000000"/>
              <w:right w:val="single" w:sz="4" w:space="0" w:color="000000"/>
            </w:tcBorders>
            <w:vAlign w:val="center"/>
          </w:tcPr>
          <w:p w14:paraId="12B755D7" w14:textId="77777777" w:rsidR="009D5EC2" w:rsidRDefault="009D5EC2">
            <w:pPr>
              <w:spacing w:before="60" w:after="60" w:line="240" w:lineRule="auto"/>
              <w:jc w:val="center"/>
              <w:rPr>
                <w:sz w:val="20"/>
                <w:szCs w:val="20"/>
              </w:rPr>
            </w:pPr>
            <w:r>
              <w:rPr>
                <w:sz w:val="20"/>
                <w:szCs w:val="20"/>
              </w:rPr>
              <w:t>Supaprastinto išlaidų apmokėjimo rūšis (fiksuotieji vieneto įkainiai, fiksuotosios sumos arba fiksuotosios normos)</w:t>
            </w:r>
          </w:p>
        </w:tc>
        <w:tc>
          <w:tcPr>
            <w:tcW w:w="1384" w:type="dxa"/>
            <w:tcBorders>
              <w:top w:val="single" w:sz="4" w:space="0" w:color="000000"/>
              <w:left w:val="single" w:sz="4" w:space="0" w:color="000000"/>
              <w:bottom w:val="single" w:sz="4" w:space="0" w:color="000000"/>
              <w:right w:val="single" w:sz="4" w:space="0" w:color="000000"/>
            </w:tcBorders>
            <w:vAlign w:val="center"/>
          </w:tcPr>
          <w:p w14:paraId="1E64DCFE" w14:textId="77777777" w:rsidR="009D5EC2" w:rsidRDefault="009D5EC2">
            <w:pPr>
              <w:spacing w:before="60" w:after="60" w:line="240" w:lineRule="auto"/>
              <w:jc w:val="center"/>
              <w:rPr>
                <w:sz w:val="20"/>
                <w:szCs w:val="20"/>
              </w:rPr>
            </w:pPr>
            <w:r>
              <w:rPr>
                <w:sz w:val="20"/>
                <w:szCs w:val="20"/>
              </w:rPr>
              <w:t>Supaprastinto išlaidų apmokėjimo suma (eurais) arba procentinis dydis (fiksuotųjų normų atveju)</w:t>
            </w:r>
          </w:p>
        </w:tc>
      </w:tr>
      <w:tr w:rsidR="00D97931" w14:paraId="580C293C" w14:textId="77777777" w:rsidTr="00923506">
        <w:tc>
          <w:tcPr>
            <w:tcW w:w="1242" w:type="dxa"/>
            <w:tcBorders>
              <w:top w:val="single" w:sz="4" w:space="0" w:color="000000"/>
              <w:left w:val="single" w:sz="4" w:space="0" w:color="000000"/>
              <w:bottom w:val="single" w:sz="4" w:space="0" w:color="000000"/>
              <w:right w:val="single" w:sz="4" w:space="0" w:color="000000"/>
            </w:tcBorders>
          </w:tcPr>
          <w:p w14:paraId="006AC4EC" w14:textId="77777777" w:rsidR="009D5EC2" w:rsidRDefault="009D5EC2">
            <w:pPr>
              <w:snapToGrid w:val="0"/>
              <w:spacing w:before="60" w:after="60" w:line="240" w:lineRule="auto"/>
              <w:rPr>
                <w:sz w:val="20"/>
                <w:szCs w:val="20"/>
              </w:rPr>
            </w:pPr>
          </w:p>
        </w:tc>
        <w:tc>
          <w:tcPr>
            <w:tcW w:w="740" w:type="dxa"/>
            <w:tcBorders>
              <w:top w:val="single" w:sz="4" w:space="0" w:color="000000"/>
              <w:left w:val="single" w:sz="4" w:space="0" w:color="000000"/>
              <w:bottom w:val="single" w:sz="4" w:space="0" w:color="000000"/>
              <w:right w:val="single" w:sz="4" w:space="0" w:color="000000"/>
            </w:tcBorders>
          </w:tcPr>
          <w:p w14:paraId="1B113EEB" w14:textId="77777777" w:rsidR="009D5EC2" w:rsidRDefault="009D5EC2">
            <w:pPr>
              <w:snapToGrid w:val="0"/>
              <w:spacing w:before="60" w:after="60" w:line="240" w:lineRule="auto"/>
              <w:rPr>
                <w:sz w:val="20"/>
                <w:szCs w:val="20"/>
              </w:rPr>
            </w:pPr>
          </w:p>
        </w:tc>
        <w:tc>
          <w:tcPr>
            <w:tcW w:w="1954" w:type="dxa"/>
            <w:tcBorders>
              <w:top w:val="single" w:sz="4" w:space="0" w:color="000000"/>
              <w:left w:val="single" w:sz="4" w:space="0" w:color="000000"/>
              <w:bottom w:val="single" w:sz="4" w:space="0" w:color="000000"/>
              <w:right w:val="single" w:sz="4" w:space="0" w:color="000000"/>
            </w:tcBorders>
          </w:tcPr>
          <w:p w14:paraId="7FA78526" w14:textId="77777777" w:rsidR="009D5EC2" w:rsidRDefault="009D5EC2">
            <w:pPr>
              <w:snapToGrid w:val="0"/>
              <w:spacing w:before="60" w:after="60" w:line="240" w:lineRule="auto"/>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8AC0EF5" w14:textId="77777777" w:rsidR="009D5EC2" w:rsidRDefault="009D5EC2">
            <w:pPr>
              <w:snapToGrid w:val="0"/>
              <w:spacing w:before="60" w:after="60" w:line="240" w:lineRule="auto"/>
              <w:rPr>
                <w:sz w:val="20"/>
                <w:szCs w:val="20"/>
              </w:rPr>
            </w:pPr>
          </w:p>
        </w:tc>
        <w:tc>
          <w:tcPr>
            <w:tcW w:w="1700" w:type="dxa"/>
            <w:tcBorders>
              <w:top w:val="single" w:sz="4" w:space="0" w:color="000000"/>
              <w:left w:val="single" w:sz="4" w:space="0" w:color="000000"/>
              <w:bottom w:val="single" w:sz="4" w:space="0" w:color="000000"/>
              <w:right w:val="single" w:sz="4" w:space="0" w:color="000000"/>
            </w:tcBorders>
          </w:tcPr>
          <w:p w14:paraId="5BC6B0E2" w14:textId="77777777" w:rsidR="009D5EC2" w:rsidRDefault="009D5EC2">
            <w:pPr>
              <w:snapToGrid w:val="0"/>
              <w:spacing w:before="60" w:after="60" w:line="240" w:lineRule="auto"/>
              <w:rPr>
                <w:sz w:val="20"/>
                <w:szCs w:val="20"/>
              </w:rPr>
            </w:pPr>
          </w:p>
        </w:tc>
        <w:tc>
          <w:tcPr>
            <w:tcW w:w="823" w:type="dxa"/>
            <w:tcBorders>
              <w:top w:val="single" w:sz="4" w:space="0" w:color="000000"/>
              <w:left w:val="single" w:sz="4" w:space="0" w:color="000000"/>
              <w:bottom w:val="single" w:sz="4" w:space="0" w:color="000000"/>
              <w:right w:val="single" w:sz="4" w:space="0" w:color="000000"/>
            </w:tcBorders>
          </w:tcPr>
          <w:p w14:paraId="707CACCF" w14:textId="77777777" w:rsidR="009D5EC2" w:rsidRDefault="009D5EC2">
            <w:pPr>
              <w:spacing w:before="60" w:after="60" w:line="240" w:lineRule="auto"/>
              <w:rPr>
                <w:sz w:val="20"/>
                <w:szCs w:val="20"/>
              </w:rPr>
            </w:pPr>
            <w:r>
              <w:rPr>
                <w:sz w:val="20"/>
                <w:szCs w:val="20"/>
              </w:rPr>
              <w:t>Kodas</w:t>
            </w:r>
            <w:r>
              <w:rPr>
                <w:rStyle w:val="FootnoteAnchor"/>
                <w:bCs/>
                <w:sz w:val="20"/>
                <w:szCs w:val="20"/>
              </w:rPr>
              <w:footnoteReference w:id="1"/>
            </w:r>
          </w:p>
        </w:tc>
        <w:tc>
          <w:tcPr>
            <w:tcW w:w="1276" w:type="dxa"/>
            <w:tcBorders>
              <w:top w:val="single" w:sz="4" w:space="0" w:color="000000"/>
              <w:left w:val="single" w:sz="4" w:space="0" w:color="000000"/>
              <w:bottom w:val="single" w:sz="4" w:space="0" w:color="000000"/>
              <w:right w:val="single" w:sz="4" w:space="0" w:color="000000"/>
            </w:tcBorders>
          </w:tcPr>
          <w:p w14:paraId="79FE71D0" w14:textId="77777777" w:rsidR="009D5EC2" w:rsidRDefault="009D5EC2">
            <w:pPr>
              <w:spacing w:before="60" w:after="60" w:line="240" w:lineRule="auto"/>
              <w:rPr>
                <w:sz w:val="20"/>
                <w:szCs w:val="20"/>
              </w:rPr>
            </w:pPr>
            <w:r>
              <w:rPr>
                <w:sz w:val="20"/>
                <w:szCs w:val="20"/>
              </w:rPr>
              <w:t>Aprašymas</w:t>
            </w:r>
          </w:p>
        </w:tc>
        <w:tc>
          <w:tcPr>
            <w:tcW w:w="850" w:type="dxa"/>
            <w:tcBorders>
              <w:top w:val="single" w:sz="4" w:space="0" w:color="000000"/>
              <w:left w:val="single" w:sz="4" w:space="0" w:color="000000"/>
              <w:bottom w:val="single" w:sz="4" w:space="0" w:color="000000"/>
              <w:right w:val="single" w:sz="4" w:space="0" w:color="000000"/>
            </w:tcBorders>
          </w:tcPr>
          <w:p w14:paraId="31613911" w14:textId="77777777" w:rsidR="009D5EC2" w:rsidRDefault="009D5EC2">
            <w:pPr>
              <w:spacing w:before="60" w:after="60" w:line="240" w:lineRule="auto"/>
              <w:rPr>
                <w:sz w:val="20"/>
                <w:szCs w:val="20"/>
              </w:rPr>
            </w:pPr>
            <w:r>
              <w:rPr>
                <w:sz w:val="20"/>
                <w:szCs w:val="20"/>
              </w:rPr>
              <w:t>Kodas</w:t>
            </w:r>
            <w:r>
              <w:rPr>
                <w:rStyle w:val="FootnoteAnchor"/>
                <w:bCs/>
                <w:sz w:val="20"/>
                <w:szCs w:val="20"/>
              </w:rPr>
              <w:footnoteReference w:id="2"/>
            </w:r>
          </w:p>
        </w:tc>
        <w:tc>
          <w:tcPr>
            <w:tcW w:w="1162" w:type="dxa"/>
            <w:tcBorders>
              <w:top w:val="single" w:sz="4" w:space="0" w:color="000000"/>
              <w:left w:val="single" w:sz="4" w:space="0" w:color="000000"/>
              <w:bottom w:val="single" w:sz="4" w:space="0" w:color="000000"/>
              <w:right w:val="single" w:sz="4" w:space="0" w:color="000000"/>
            </w:tcBorders>
          </w:tcPr>
          <w:p w14:paraId="79D7086E" w14:textId="77777777" w:rsidR="009D5EC2" w:rsidRDefault="009D5EC2">
            <w:pPr>
              <w:spacing w:before="60" w:after="60" w:line="240" w:lineRule="auto"/>
              <w:rPr>
                <w:sz w:val="20"/>
                <w:szCs w:val="20"/>
              </w:rPr>
            </w:pPr>
            <w:r>
              <w:rPr>
                <w:sz w:val="20"/>
                <w:szCs w:val="20"/>
              </w:rPr>
              <w:t>Aprašymas</w:t>
            </w:r>
          </w:p>
        </w:tc>
        <w:tc>
          <w:tcPr>
            <w:tcW w:w="992" w:type="dxa"/>
            <w:tcBorders>
              <w:top w:val="single" w:sz="4" w:space="0" w:color="000000"/>
              <w:left w:val="single" w:sz="4" w:space="0" w:color="000000"/>
              <w:bottom w:val="single" w:sz="4" w:space="0" w:color="000000"/>
              <w:right w:val="single" w:sz="4" w:space="0" w:color="000000"/>
            </w:tcBorders>
          </w:tcPr>
          <w:p w14:paraId="496B5A33" w14:textId="77777777" w:rsidR="009D5EC2" w:rsidRDefault="009D5EC2">
            <w:pPr>
              <w:snapToGrid w:val="0"/>
              <w:spacing w:before="60" w:after="60" w:line="240" w:lineRule="auto"/>
              <w:rPr>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36702248" w14:textId="77777777" w:rsidR="009D5EC2" w:rsidRDefault="009D5EC2">
            <w:pPr>
              <w:snapToGrid w:val="0"/>
              <w:spacing w:before="60" w:after="60" w:line="240" w:lineRule="auto"/>
              <w:rPr>
                <w:sz w:val="20"/>
                <w:szCs w:val="20"/>
              </w:rPr>
            </w:pPr>
          </w:p>
        </w:tc>
        <w:tc>
          <w:tcPr>
            <w:tcW w:w="1384" w:type="dxa"/>
            <w:tcBorders>
              <w:top w:val="single" w:sz="4" w:space="0" w:color="000000"/>
              <w:left w:val="single" w:sz="4" w:space="0" w:color="000000"/>
              <w:bottom w:val="single" w:sz="4" w:space="0" w:color="000000"/>
              <w:right w:val="single" w:sz="4" w:space="0" w:color="000000"/>
            </w:tcBorders>
          </w:tcPr>
          <w:p w14:paraId="06DFF023" w14:textId="77777777" w:rsidR="009D5EC2" w:rsidRDefault="009D5EC2">
            <w:pPr>
              <w:snapToGrid w:val="0"/>
              <w:spacing w:before="60" w:after="60" w:line="240" w:lineRule="auto"/>
              <w:rPr>
                <w:sz w:val="20"/>
                <w:szCs w:val="20"/>
              </w:rPr>
            </w:pPr>
          </w:p>
        </w:tc>
      </w:tr>
      <w:tr w:rsidR="00D97931" w14:paraId="5E108ECF" w14:textId="77777777" w:rsidTr="00923506">
        <w:trPr>
          <w:trHeight w:val="557"/>
        </w:trPr>
        <w:tc>
          <w:tcPr>
            <w:tcW w:w="1242" w:type="dxa"/>
            <w:vMerge w:val="restart"/>
            <w:tcBorders>
              <w:top w:val="single" w:sz="4" w:space="0" w:color="000000"/>
              <w:left w:val="single" w:sz="4" w:space="0" w:color="000000"/>
              <w:bottom w:val="single" w:sz="4" w:space="0" w:color="000000"/>
              <w:right w:val="single" w:sz="4" w:space="0" w:color="000000"/>
            </w:tcBorders>
          </w:tcPr>
          <w:p w14:paraId="6596B750" w14:textId="7111D05C" w:rsidR="00D97931" w:rsidRDefault="00D97931">
            <w:pPr>
              <w:spacing w:before="60" w:after="60" w:line="240" w:lineRule="auto"/>
              <w:rPr>
                <w:sz w:val="20"/>
                <w:szCs w:val="20"/>
              </w:rPr>
            </w:pPr>
            <w:r>
              <w:rPr>
                <w:sz w:val="20"/>
                <w:szCs w:val="20"/>
              </w:rPr>
              <w:t>4 prioritetas „Socialiai atsakingesnė Lietuva“</w:t>
            </w:r>
          </w:p>
        </w:tc>
        <w:tc>
          <w:tcPr>
            <w:tcW w:w="740" w:type="dxa"/>
            <w:vMerge w:val="restart"/>
            <w:tcBorders>
              <w:top w:val="single" w:sz="4" w:space="0" w:color="000000"/>
              <w:left w:val="single" w:sz="4" w:space="0" w:color="000000"/>
              <w:bottom w:val="single" w:sz="4" w:space="0" w:color="000000"/>
              <w:right w:val="single" w:sz="4" w:space="0" w:color="000000"/>
            </w:tcBorders>
          </w:tcPr>
          <w:p w14:paraId="62037411" w14:textId="0402F499" w:rsidR="00D97931" w:rsidRDefault="00D97931">
            <w:pPr>
              <w:spacing w:before="60" w:after="60" w:line="240" w:lineRule="auto"/>
              <w:rPr>
                <w:sz w:val="20"/>
                <w:szCs w:val="20"/>
              </w:rPr>
            </w:pPr>
          </w:p>
        </w:tc>
        <w:tc>
          <w:tcPr>
            <w:tcW w:w="1954" w:type="dxa"/>
            <w:vMerge w:val="restart"/>
            <w:tcBorders>
              <w:top w:val="single" w:sz="4" w:space="0" w:color="000000"/>
              <w:left w:val="single" w:sz="4" w:space="0" w:color="000000"/>
              <w:right w:val="single" w:sz="4" w:space="0" w:color="000000"/>
            </w:tcBorders>
          </w:tcPr>
          <w:p w14:paraId="3988A19E" w14:textId="006E486F" w:rsidR="00D97931" w:rsidRDefault="00D97931">
            <w:pPr>
              <w:spacing w:before="60" w:after="60" w:line="240" w:lineRule="auto"/>
              <w:rPr>
                <w:color w:val="0070C0"/>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9AD0463" w14:textId="21DD7C4E" w:rsidR="00D97931" w:rsidRDefault="00D97931">
            <w:pPr>
              <w:spacing w:before="60" w:after="60" w:line="240" w:lineRule="auto"/>
              <w:rPr>
                <w:color w:val="0070C0"/>
                <w:sz w:val="20"/>
                <w:szCs w:val="20"/>
              </w:rPr>
            </w:pPr>
          </w:p>
        </w:tc>
        <w:tc>
          <w:tcPr>
            <w:tcW w:w="1700" w:type="dxa"/>
            <w:tcBorders>
              <w:top w:val="single" w:sz="4" w:space="0" w:color="000000"/>
              <w:left w:val="single" w:sz="4" w:space="0" w:color="000000"/>
              <w:bottom w:val="single" w:sz="4" w:space="0" w:color="000000"/>
              <w:right w:val="single" w:sz="4" w:space="0" w:color="000000"/>
            </w:tcBorders>
          </w:tcPr>
          <w:p w14:paraId="0D8E2994" w14:textId="48F675BB" w:rsidR="00D97931" w:rsidRDefault="00D97931">
            <w:pPr>
              <w:spacing w:before="60" w:after="60" w:line="240" w:lineRule="auto"/>
              <w:rPr>
                <w:color w:val="0070C0"/>
                <w:sz w:val="20"/>
                <w:szCs w:val="20"/>
                <w:lang w:val="en-US"/>
              </w:rPr>
            </w:pPr>
          </w:p>
        </w:tc>
        <w:tc>
          <w:tcPr>
            <w:tcW w:w="823" w:type="dxa"/>
            <w:vMerge w:val="restart"/>
            <w:tcBorders>
              <w:top w:val="single" w:sz="4" w:space="0" w:color="000000"/>
              <w:left w:val="single" w:sz="4" w:space="0" w:color="000000"/>
              <w:right w:val="single" w:sz="4" w:space="0" w:color="000000"/>
            </w:tcBorders>
          </w:tcPr>
          <w:p w14:paraId="21DDBD8D" w14:textId="320F7185" w:rsidR="00D97931" w:rsidRDefault="00D97931">
            <w:pPr>
              <w:spacing w:before="60" w:after="60" w:line="240" w:lineRule="auto"/>
              <w:rPr>
                <w:sz w:val="20"/>
                <w:szCs w:val="20"/>
              </w:rPr>
            </w:pPr>
          </w:p>
        </w:tc>
        <w:tc>
          <w:tcPr>
            <w:tcW w:w="1276" w:type="dxa"/>
            <w:vMerge w:val="restart"/>
            <w:tcBorders>
              <w:top w:val="single" w:sz="4" w:space="0" w:color="000000"/>
              <w:left w:val="single" w:sz="4" w:space="0" w:color="000000"/>
              <w:right w:val="single" w:sz="4" w:space="0" w:color="000000"/>
            </w:tcBorders>
          </w:tcPr>
          <w:p w14:paraId="52BD9932" w14:textId="1582D0BD" w:rsidR="00D97931" w:rsidRDefault="00D97931">
            <w:pPr>
              <w:spacing w:before="60" w:after="60" w:line="240" w:lineRule="auto"/>
              <w:rPr>
                <w:color w:val="0070C0"/>
                <w:sz w:val="20"/>
                <w:szCs w:val="20"/>
              </w:rPr>
            </w:pPr>
          </w:p>
        </w:tc>
        <w:tc>
          <w:tcPr>
            <w:tcW w:w="850" w:type="dxa"/>
            <w:vMerge w:val="restart"/>
            <w:tcBorders>
              <w:top w:val="single" w:sz="4" w:space="0" w:color="000000"/>
              <w:left w:val="single" w:sz="4" w:space="0" w:color="000000"/>
              <w:right w:val="single" w:sz="4" w:space="0" w:color="000000"/>
            </w:tcBorders>
          </w:tcPr>
          <w:p w14:paraId="4EAAFE3C" w14:textId="77777777" w:rsidR="00D97931" w:rsidRDefault="00D97931">
            <w:pPr>
              <w:snapToGrid w:val="0"/>
              <w:spacing w:before="60" w:after="60" w:line="240" w:lineRule="auto"/>
              <w:rPr>
                <w:color w:val="0070C0"/>
                <w:sz w:val="20"/>
                <w:szCs w:val="20"/>
              </w:rPr>
            </w:pPr>
          </w:p>
        </w:tc>
        <w:tc>
          <w:tcPr>
            <w:tcW w:w="1162" w:type="dxa"/>
            <w:vMerge w:val="restart"/>
            <w:tcBorders>
              <w:top w:val="single" w:sz="4" w:space="0" w:color="000000"/>
              <w:left w:val="single" w:sz="4" w:space="0" w:color="000000"/>
              <w:bottom w:val="single" w:sz="4" w:space="0" w:color="000000"/>
              <w:right w:val="single" w:sz="4" w:space="0" w:color="000000"/>
            </w:tcBorders>
          </w:tcPr>
          <w:p w14:paraId="10E8334B" w14:textId="46666836" w:rsidR="00D97931" w:rsidRDefault="00D97931">
            <w:pPr>
              <w:spacing w:before="60" w:after="60" w:line="240" w:lineRule="auto"/>
              <w:jc w:val="center"/>
            </w:pPr>
            <w:r>
              <w:rPr>
                <w:sz w:val="20"/>
                <w:szCs w:val="20"/>
              </w:rPr>
              <w:t xml:space="preserve">Renginio valanda vienam dalyviui, neįskaitant pietų pertraukos ir vakarienės laiko </w:t>
            </w:r>
          </w:p>
        </w:tc>
        <w:tc>
          <w:tcPr>
            <w:tcW w:w="992" w:type="dxa"/>
            <w:vMerge w:val="restart"/>
            <w:tcBorders>
              <w:top w:val="single" w:sz="4" w:space="0" w:color="000000"/>
              <w:left w:val="single" w:sz="4" w:space="0" w:color="000000"/>
              <w:bottom w:val="single" w:sz="4" w:space="0" w:color="000000"/>
              <w:right w:val="single" w:sz="4" w:space="0" w:color="000000"/>
            </w:tcBorders>
          </w:tcPr>
          <w:p w14:paraId="37048283" w14:textId="77777777" w:rsidR="00D97931" w:rsidRDefault="00D97931">
            <w:pPr>
              <w:spacing w:before="60" w:after="60" w:line="240" w:lineRule="auto"/>
              <w:jc w:val="center"/>
              <w:rPr>
                <w:sz w:val="20"/>
                <w:szCs w:val="20"/>
              </w:rPr>
            </w:pPr>
            <w:r>
              <w:rPr>
                <w:sz w:val="20"/>
                <w:szCs w:val="20"/>
              </w:rPr>
              <w:t>Renginio valandų skaičius vienam dalyviui, val.</w:t>
            </w:r>
          </w:p>
        </w:tc>
        <w:tc>
          <w:tcPr>
            <w:tcW w:w="1275" w:type="dxa"/>
            <w:vMerge w:val="restart"/>
            <w:tcBorders>
              <w:top w:val="single" w:sz="4" w:space="0" w:color="000000"/>
              <w:left w:val="single" w:sz="4" w:space="0" w:color="000000"/>
              <w:bottom w:val="single" w:sz="4" w:space="0" w:color="000000"/>
              <w:right w:val="single" w:sz="4" w:space="0" w:color="000000"/>
            </w:tcBorders>
          </w:tcPr>
          <w:p w14:paraId="430FB342" w14:textId="77777777" w:rsidR="00D97931" w:rsidRDefault="00D97931">
            <w:pPr>
              <w:spacing w:before="60" w:after="60" w:line="240" w:lineRule="auto"/>
              <w:jc w:val="center"/>
              <w:rPr>
                <w:sz w:val="20"/>
                <w:szCs w:val="20"/>
              </w:rPr>
            </w:pPr>
            <w:r>
              <w:rPr>
                <w:sz w:val="20"/>
                <w:szCs w:val="20"/>
              </w:rPr>
              <w:t>Fiksuotieji vieneto įkainiai</w:t>
            </w:r>
          </w:p>
        </w:tc>
        <w:tc>
          <w:tcPr>
            <w:tcW w:w="1384" w:type="dxa"/>
            <w:vMerge w:val="restart"/>
            <w:tcBorders>
              <w:top w:val="single" w:sz="4" w:space="0" w:color="000000"/>
              <w:left w:val="single" w:sz="4" w:space="0" w:color="000000"/>
              <w:bottom w:val="single" w:sz="4" w:space="0" w:color="000000"/>
              <w:right w:val="single" w:sz="4" w:space="0" w:color="000000"/>
            </w:tcBorders>
          </w:tcPr>
          <w:p w14:paraId="4C5CB262" w14:textId="77777777" w:rsidR="00D97931" w:rsidRDefault="00D97931">
            <w:pPr>
              <w:spacing w:before="60" w:after="60" w:line="240" w:lineRule="auto"/>
            </w:pPr>
            <w:r>
              <w:rPr>
                <w:sz w:val="20"/>
                <w:szCs w:val="20"/>
              </w:rPr>
              <w:t>FĮ</w:t>
            </w:r>
            <w:r>
              <w:rPr>
                <w:sz w:val="20"/>
                <w:szCs w:val="20"/>
                <w:vertAlign w:val="subscript"/>
              </w:rPr>
              <w:t>1</w:t>
            </w:r>
            <w:r>
              <w:rPr>
                <w:sz w:val="20"/>
                <w:szCs w:val="20"/>
              </w:rPr>
              <w:t xml:space="preserve"> </w:t>
            </w:r>
            <w:r>
              <w:rPr>
                <w:sz w:val="20"/>
                <w:szCs w:val="20"/>
                <w:vertAlign w:val="subscript"/>
              </w:rPr>
              <w:t xml:space="preserve">be PVM </w:t>
            </w:r>
            <w:r>
              <w:rPr>
                <w:sz w:val="20"/>
                <w:szCs w:val="20"/>
              </w:rPr>
              <w:t>–</w:t>
            </w:r>
            <w:r>
              <w:rPr>
                <w:b/>
                <w:bCs/>
                <w:sz w:val="20"/>
                <w:szCs w:val="20"/>
              </w:rPr>
              <w:t>8,23 Eur;</w:t>
            </w:r>
          </w:p>
          <w:p w14:paraId="1B34376A" w14:textId="77777777" w:rsidR="00D97931" w:rsidRDefault="00D97931">
            <w:pPr>
              <w:spacing w:before="60" w:after="60" w:line="240" w:lineRule="auto"/>
              <w:rPr>
                <w:b/>
                <w:bCs/>
                <w:sz w:val="20"/>
                <w:szCs w:val="20"/>
              </w:rPr>
            </w:pPr>
            <w:r>
              <w:rPr>
                <w:sz w:val="20"/>
                <w:szCs w:val="20"/>
              </w:rPr>
              <w:t>FĮ</w:t>
            </w:r>
            <w:r>
              <w:rPr>
                <w:sz w:val="20"/>
                <w:szCs w:val="20"/>
                <w:vertAlign w:val="subscript"/>
              </w:rPr>
              <w:t>1</w:t>
            </w:r>
            <w:r>
              <w:rPr>
                <w:sz w:val="20"/>
                <w:szCs w:val="20"/>
              </w:rPr>
              <w:t xml:space="preserve"> </w:t>
            </w:r>
            <w:r>
              <w:rPr>
                <w:sz w:val="20"/>
                <w:szCs w:val="20"/>
                <w:vertAlign w:val="subscript"/>
              </w:rPr>
              <w:t xml:space="preserve">su PVM </w:t>
            </w:r>
            <w:r>
              <w:rPr>
                <w:sz w:val="20"/>
                <w:szCs w:val="20"/>
              </w:rPr>
              <w:t>–</w:t>
            </w:r>
            <w:r>
              <w:rPr>
                <w:b/>
                <w:bCs/>
                <w:sz w:val="20"/>
                <w:szCs w:val="20"/>
              </w:rPr>
              <w:t>9,31 Eur;</w:t>
            </w:r>
          </w:p>
          <w:p w14:paraId="3D3EA0DE" w14:textId="568E98D5" w:rsidR="00D97931" w:rsidRDefault="00D97931">
            <w:pPr>
              <w:spacing w:before="60" w:after="60" w:line="240" w:lineRule="auto"/>
            </w:pPr>
            <w:r>
              <w:rPr>
                <w:sz w:val="20"/>
                <w:szCs w:val="20"/>
              </w:rPr>
              <w:t>FĮ</w:t>
            </w:r>
            <w:r>
              <w:rPr>
                <w:sz w:val="20"/>
                <w:szCs w:val="20"/>
                <w:vertAlign w:val="subscript"/>
              </w:rPr>
              <w:t>2</w:t>
            </w:r>
            <w:r>
              <w:rPr>
                <w:sz w:val="20"/>
                <w:szCs w:val="20"/>
              </w:rPr>
              <w:t xml:space="preserve"> </w:t>
            </w:r>
            <w:r>
              <w:rPr>
                <w:sz w:val="20"/>
                <w:szCs w:val="20"/>
                <w:vertAlign w:val="subscript"/>
              </w:rPr>
              <w:t xml:space="preserve">be PVM </w:t>
            </w:r>
            <w:r>
              <w:rPr>
                <w:sz w:val="20"/>
                <w:szCs w:val="20"/>
              </w:rPr>
              <w:t>–</w:t>
            </w:r>
            <w:r>
              <w:rPr>
                <w:b/>
                <w:bCs/>
                <w:sz w:val="20"/>
                <w:szCs w:val="20"/>
              </w:rPr>
              <w:t>10,68 Eur;</w:t>
            </w:r>
          </w:p>
          <w:p w14:paraId="26AE49CE" w14:textId="45A4296B" w:rsidR="00D97931" w:rsidRDefault="00D97931">
            <w:pPr>
              <w:spacing w:before="60" w:after="60" w:line="240" w:lineRule="auto"/>
            </w:pPr>
            <w:r>
              <w:rPr>
                <w:sz w:val="20"/>
                <w:szCs w:val="20"/>
              </w:rPr>
              <w:t>FĮ</w:t>
            </w:r>
            <w:r>
              <w:rPr>
                <w:sz w:val="20"/>
                <w:szCs w:val="20"/>
                <w:vertAlign w:val="subscript"/>
              </w:rPr>
              <w:t>2</w:t>
            </w:r>
            <w:r>
              <w:rPr>
                <w:sz w:val="20"/>
                <w:szCs w:val="20"/>
              </w:rPr>
              <w:t xml:space="preserve"> </w:t>
            </w:r>
            <w:r>
              <w:rPr>
                <w:sz w:val="20"/>
                <w:szCs w:val="20"/>
                <w:vertAlign w:val="subscript"/>
              </w:rPr>
              <w:t xml:space="preserve">su PVM </w:t>
            </w:r>
            <w:r>
              <w:rPr>
                <w:sz w:val="20"/>
                <w:szCs w:val="20"/>
              </w:rPr>
              <w:t>–</w:t>
            </w:r>
            <w:r>
              <w:rPr>
                <w:b/>
                <w:bCs/>
                <w:sz w:val="20"/>
                <w:szCs w:val="20"/>
              </w:rPr>
              <w:t>12,81 Eur.</w:t>
            </w:r>
          </w:p>
          <w:p w14:paraId="5894EFFE" w14:textId="77777777" w:rsidR="00D97931" w:rsidRDefault="00D97931">
            <w:pPr>
              <w:spacing w:before="60" w:after="60" w:line="240" w:lineRule="auto"/>
              <w:jc w:val="center"/>
              <w:rPr>
                <w:b/>
                <w:bCs/>
                <w:sz w:val="20"/>
                <w:szCs w:val="20"/>
              </w:rPr>
            </w:pPr>
          </w:p>
          <w:p w14:paraId="64C7BFA8" w14:textId="77777777" w:rsidR="00D97931" w:rsidRDefault="00D97931">
            <w:pPr>
              <w:spacing w:before="60" w:after="60" w:line="240" w:lineRule="auto"/>
              <w:jc w:val="center"/>
              <w:rPr>
                <w:sz w:val="20"/>
                <w:szCs w:val="20"/>
              </w:rPr>
            </w:pPr>
          </w:p>
        </w:tc>
      </w:tr>
      <w:tr w:rsidR="00D97931" w14:paraId="267DE814" w14:textId="77777777" w:rsidTr="00923506">
        <w:trPr>
          <w:trHeight w:val="563"/>
        </w:trPr>
        <w:tc>
          <w:tcPr>
            <w:tcW w:w="1242" w:type="dxa"/>
            <w:vMerge/>
            <w:tcBorders>
              <w:top w:val="single" w:sz="4" w:space="0" w:color="000000"/>
              <w:left w:val="single" w:sz="4" w:space="0" w:color="000000"/>
              <w:bottom w:val="single" w:sz="4" w:space="0" w:color="000000"/>
              <w:right w:val="single" w:sz="4" w:space="0" w:color="000000"/>
            </w:tcBorders>
          </w:tcPr>
          <w:p w14:paraId="3C4381ED" w14:textId="77777777" w:rsidR="00D97931" w:rsidRDefault="00D97931">
            <w:pPr>
              <w:snapToGrid w:val="0"/>
              <w:spacing w:before="60" w:after="60" w:line="240" w:lineRule="auto"/>
              <w:rPr>
                <w:sz w:val="20"/>
                <w:szCs w:val="20"/>
              </w:rPr>
            </w:pPr>
          </w:p>
        </w:tc>
        <w:tc>
          <w:tcPr>
            <w:tcW w:w="740" w:type="dxa"/>
            <w:vMerge/>
            <w:tcBorders>
              <w:top w:val="single" w:sz="4" w:space="0" w:color="000000"/>
              <w:left w:val="single" w:sz="4" w:space="0" w:color="000000"/>
              <w:bottom w:val="single" w:sz="4" w:space="0" w:color="000000"/>
              <w:right w:val="single" w:sz="4" w:space="0" w:color="000000"/>
            </w:tcBorders>
          </w:tcPr>
          <w:p w14:paraId="04DC3C11" w14:textId="77777777" w:rsidR="00D97931" w:rsidRDefault="00D97931">
            <w:pPr>
              <w:snapToGrid w:val="0"/>
              <w:spacing w:before="60" w:after="60" w:line="240" w:lineRule="auto"/>
              <w:rPr>
                <w:sz w:val="20"/>
                <w:szCs w:val="20"/>
              </w:rPr>
            </w:pPr>
          </w:p>
        </w:tc>
        <w:tc>
          <w:tcPr>
            <w:tcW w:w="1954" w:type="dxa"/>
            <w:vMerge/>
            <w:tcBorders>
              <w:left w:val="single" w:sz="4" w:space="0" w:color="000000"/>
              <w:bottom w:val="single" w:sz="4" w:space="0" w:color="000000"/>
              <w:right w:val="single" w:sz="4" w:space="0" w:color="000000"/>
            </w:tcBorders>
          </w:tcPr>
          <w:p w14:paraId="0FF8F8EC" w14:textId="77777777" w:rsidR="00D97931" w:rsidRDefault="00D97931">
            <w:pPr>
              <w:snapToGrid w:val="0"/>
              <w:spacing w:before="60" w:after="60" w:line="240" w:lineRule="auto"/>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D7237AB" w14:textId="2740F562" w:rsidR="00D97931" w:rsidRDefault="00D97931">
            <w:pPr>
              <w:spacing w:before="60" w:after="60" w:line="240" w:lineRule="auto"/>
              <w:rPr>
                <w:sz w:val="20"/>
                <w:szCs w:val="20"/>
              </w:rPr>
            </w:pPr>
          </w:p>
        </w:tc>
        <w:tc>
          <w:tcPr>
            <w:tcW w:w="1700" w:type="dxa"/>
            <w:tcBorders>
              <w:top w:val="single" w:sz="4" w:space="0" w:color="000000"/>
              <w:left w:val="single" w:sz="4" w:space="0" w:color="000000"/>
              <w:bottom w:val="single" w:sz="4" w:space="0" w:color="000000"/>
              <w:right w:val="single" w:sz="4" w:space="0" w:color="000000"/>
            </w:tcBorders>
          </w:tcPr>
          <w:p w14:paraId="01CE9555" w14:textId="02128B6B" w:rsidR="00D97931" w:rsidRDefault="00D97931">
            <w:pPr>
              <w:spacing w:before="60" w:after="60" w:line="240" w:lineRule="auto"/>
              <w:rPr>
                <w:sz w:val="20"/>
                <w:szCs w:val="20"/>
                <w:lang w:val="en-US"/>
              </w:rPr>
            </w:pPr>
          </w:p>
        </w:tc>
        <w:tc>
          <w:tcPr>
            <w:tcW w:w="823" w:type="dxa"/>
            <w:vMerge/>
            <w:tcBorders>
              <w:left w:val="single" w:sz="4" w:space="0" w:color="000000"/>
              <w:bottom w:val="single" w:sz="4" w:space="0" w:color="000000"/>
              <w:right w:val="single" w:sz="4" w:space="0" w:color="000000"/>
            </w:tcBorders>
          </w:tcPr>
          <w:p w14:paraId="6D439B2B" w14:textId="77777777" w:rsidR="00D97931" w:rsidRDefault="00D97931">
            <w:pPr>
              <w:snapToGrid w:val="0"/>
              <w:spacing w:before="60" w:after="60" w:line="240" w:lineRule="auto"/>
              <w:rPr>
                <w:sz w:val="20"/>
                <w:szCs w:val="20"/>
                <w:lang w:val="en-US"/>
              </w:rPr>
            </w:pPr>
          </w:p>
        </w:tc>
        <w:tc>
          <w:tcPr>
            <w:tcW w:w="1276" w:type="dxa"/>
            <w:vMerge/>
            <w:tcBorders>
              <w:left w:val="single" w:sz="4" w:space="0" w:color="000000"/>
              <w:bottom w:val="single" w:sz="4" w:space="0" w:color="000000"/>
              <w:right w:val="single" w:sz="4" w:space="0" w:color="000000"/>
            </w:tcBorders>
          </w:tcPr>
          <w:p w14:paraId="55A4B0CA" w14:textId="77777777" w:rsidR="00D97931" w:rsidRDefault="00D97931">
            <w:pPr>
              <w:snapToGrid w:val="0"/>
              <w:spacing w:before="60" w:after="60" w:line="240" w:lineRule="auto"/>
              <w:rPr>
                <w:sz w:val="20"/>
                <w:szCs w:val="20"/>
              </w:rPr>
            </w:pPr>
          </w:p>
        </w:tc>
        <w:tc>
          <w:tcPr>
            <w:tcW w:w="850" w:type="dxa"/>
            <w:vMerge/>
            <w:tcBorders>
              <w:left w:val="single" w:sz="4" w:space="0" w:color="000000"/>
              <w:right w:val="single" w:sz="4" w:space="0" w:color="000000"/>
            </w:tcBorders>
          </w:tcPr>
          <w:p w14:paraId="2A1F2301" w14:textId="77777777" w:rsidR="00D97931" w:rsidRDefault="00D97931">
            <w:pPr>
              <w:snapToGrid w:val="0"/>
              <w:spacing w:before="60" w:after="60" w:line="240" w:lineRule="auto"/>
              <w:rPr>
                <w:sz w:val="20"/>
                <w:szCs w:val="20"/>
              </w:rPr>
            </w:pPr>
          </w:p>
        </w:tc>
        <w:tc>
          <w:tcPr>
            <w:tcW w:w="1162" w:type="dxa"/>
            <w:vMerge/>
            <w:tcBorders>
              <w:top w:val="single" w:sz="4" w:space="0" w:color="000000"/>
              <w:left w:val="single" w:sz="4" w:space="0" w:color="000000"/>
              <w:bottom w:val="single" w:sz="4" w:space="0" w:color="000000"/>
              <w:right w:val="single" w:sz="4" w:space="0" w:color="000000"/>
            </w:tcBorders>
          </w:tcPr>
          <w:p w14:paraId="078EAD3E" w14:textId="77777777" w:rsidR="00D97931" w:rsidRDefault="00D97931">
            <w:pPr>
              <w:snapToGrid w:val="0"/>
              <w:spacing w:before="60" w:after="60" w:line="240" w:lineRule="auto"/>
              <w:jc w:val="center"/>
              <w:rPr>
                <w:sz w:val="20"/>
                <w:szCs w:val="20"/>
              </w:rPr>
            </w:pPr>
          </w:p>
        </w:tc>
        <w:tc>
          <w:tcPr>
            <w:tcW w:w="992" w:type="dxa"/>
            <w:vMerge/>
            <w:tcBorders>
              <w:top w:val="single" w:sz="4" w:space="0" w:color="000000"/>
              <w:left w:val="single" w:sz="4" w:space="0" w:color="000000"/>
              <w:bottom w:val="single" w:sz="4" w:space="0" w:color="000000"/>
              <w:right w:val="single" w:sz="4" w:space="0" w:color="000000"/>
            </w:tcBorders>
          </w:tcPr>
          <w:p w14:paraId="0798C8C4" w14:textId="77777777" w:rsidR="00D97931" w:rsidRDefault="00D97931">
            <w:pPr>
              <w:snapToGrid w:val="0"/>
              <w:spacing w:before="60" w:after="60" w:line="240" w:lineRule="auto"/>
              <w:jc w:val="center"/>
              <w:rPr>
                <w:sz w:val="20"/>
                <w:szCs w:val="20"/>
              </w:rPr>
            </w:pPr>
          </w:p>
        </w:tc>
        <w:tc>
          <w:tcPr>
            <w:tcW w:w="1275" w:type="dxa"/>
            <w:vMerge/>
            <w:tcBorders>
              <w:top w:val="single" w:sz="4" w:space="0" w:color="000000"/>
              <w:left w:val="single" w:sz="4" w:space="0" w:color="000000"/>
              <w:bottom w:val="single" w:sz="4" w:space="0" w:color="000000"/>
              <w:right w:val="single" w:sz="4" w:space="0" w:color="000000"/>
            </w:tcBorders>
          </w:tcPr>
          <w:p w14:paraId="0B5AC53F" w14:textId="77777777" w:rsidR="00D97931" w:rsidRDefault="00D97931">
            <w:pPr>
              <w:snapToGrid w:val="0"/>
              <w:spacing w:before="60" w:after="60" w:line="240" w:lineRule="auto"/>
              <w:jc w:val="center"/>
              <w:rPr>
                <w:sz w:val="20"/>
                <w:szCs w:val="20"/>
              </w:rPr>
            </w:pPr>
          </w:p>
        </w:tc>
        <w:tc>
          <w:tcPr>
            <w:tcW w:w="1384" w:type="dxa"/>
            <w:vMerge/>
            <w:tcBorders>
              <w:top w:val="single" w:sz="4" w:space="0" w:color="000000"/>
              <w:left w:val="single" w:sz="4" w:space="0" w:color="000000"/>
              <w:bottom w:val="single" w:sz="4" w:space="0" w:color="000000"/>
              <w:right w:val="single" w:sz="4" w:space="0" w:color="000000"/>
            </w:tcBorders>
          </w:tcPr>
          <w:p w14:paraId="344DC4A6" w14:textId="77777777" w:rsidR="00D97931" w:rsidRDefault="00D97931">
            <w:pPr>
              <w:snapToGrid w:val="0"/>
              <w:spacing w:before="60" w:after="60" w:line="240" w:lineRule="auto"/>
              <w:rPr>
                <w:sz w:val="20"/>
                <w:szCs w:val="20"/>
              </w:rPr>
            </w:pPr>
          </w:p>
        </w:tc>
      </w:tr>
      <w:tr w:rsidR="00D97931" w14:paraId="78466A3A" w14:textId="77777777" w:rsidTr="00923506">
        <w:trPr>
          <w:trHeight w:val="1430"/>
        </w:trPr>
        <w:tc>
          <w:tcPr>
            <w:tcW w:w="1242" w:type="dxa"/>
            <w:vMerge w:val="restart"/>
            <w:tcBorders>
              <w:top w:val="single" w:sz="4" w:space="0" w:color="000000"/>
              <w:left w:val="single" w:sz="4" w:space="0" w:color="000000"/>
              <w:bottom w:val="single" w:sz="4" w:space="0" w:color="000000"/>
              <w:right w:val="single" w:sz="4" w:space="0" w:color="000000"/>
            </w:tcBorders>
          </w:tcPr>
          <w:p w14:paraId="473CFD97" w14:textId="77777777" w:rsidR="00D97931" w:rsidRDefault="00D97931">
            <w:pPr>
              <w:spacing w:before="60" w:after="60" w:line="240" w:lineRule="auto"/>
              <w:rPr>
                <w:sz w:val="20"/>
                <w:szCs w:val="20"/>
              </w:rPr>
            </w:pPr>
            <w:r>
              <w:rPr>
                <w:sz w:val="20"/>
                <w:szCs w:val="20"/>
              </w:rPr>
              <w:t>4 prioritetas „Socialiai atsakingesnė Lietuva“</w:t>
            </w:r>
          </w:p>
        </w:tc>
        <w:tc>
          <w:tcPr>
            <w:tcW w:w="740" w:type="dxa"/>
            <w:vMerge w:val="restart"/>
            <w:tcBorders>
              <w:top w:val="single" w:sz="4" w:space="0" w:color="000000"/>
              <w:left w:val="single" w:sz="4" w:space="0" w:color="000000"/>
              <w:bottom w:val="single" w:sz="4" w:space="0" w:color="000000"/>
              <w:right w:val="single" w:sz="4" w:space="0" w:color="000000"/>
            </w:tcBorders>
          </w:tcPr>
          <w:p w14:paraId="09D957C9" w14:textId="77777777" w:rsidR="00D97931" w:rsidRDefault="00D97931">
            <w:pPr>
              <w:spacing w:before="60" w:after="60" w:line="240" w:lineRule="auto"/>
              <w:rPr>
                <w:sz w:val="20"/>
                <w:szCs w:val="20"/>
              </w:rPr>
            </w:pPr>
            <w:r>
              <w:rPr>
                <w:sz w:val="20"/>
                <w:szCs w:val="20"/>
              </w:rPr>
              <w:t>ERPF</w:t>
            </w:r>
          </w:p>
        </w:tc>
        <w:tc>
          <w:tcPr>
            <w:tcW w:w="1954" w:type="dxa"/>
            <w:vMerge w:val="restart"/>
            <w:tcBorders>
              <w:top w:val="single" w:sz="4" w:space="0" w:color="000000"/>
              <w:left w:val="single" w:sz="4" w:space="0" w:color="000000"/>
              <w:bottom w:val="single" w:sz="4" w:space="0" w:color="000000"/>
              <w:right w:val="single" w:sz="4" w:space="0" w:color="000000"/>
            </w:tcBorders>
          </w:tcPr>
          <w:p w14:paraId="720969E5" w14:textId="77777777" w:rsidR="00D97931" w:rsidRDefault="00D97931">
            <w:pPr>
              <w:spacing w:before="60" w:after="60" w:line="240" w:lineRule="auto"/>
              <w:rPr>
                <w:sz w:val="20"/>
                <w:szCs w:val="20"/>
              </w:rPr>
            </w:pPr>
            <w:r>
              <w:rPr>
                <w:sz w:val="20"/>
                <w:szCs w:val="20"/>
              </w:rPr>
              <w:t>4.6. uždavinys  (RSO4.6-SFC2021) „Stiprinti kultūros ir darnaus turizmo vaidmenį ekonominės plėtros, socialinės įtraukties ir socialinių inovacijų srityse“</w:t>
            </w:r>
          </w:p>
        </w:tc>
        <w:tc>
          <w:tcPr>
            <w:tcW w:w="1162" w:type="dxa"/>
            <w:tcBorders>
              <w:top w:val="single" w:sz="4" w:space="0" w:color="000000"/>
              <w:left w:val="single" w:sz="4" w:space="0" w:color="000000"/>
              <w:bottom w:val="single" w:sz="4" w:space="0" w:color="000000"/>
              <w:right w:val="single" w:sz="4" w:space="0" w:color="000000"/>
            </w:tcBorders>
          </w:tcPr>
          <w:p w14:paraId="6E307904" w14:textId="77777777" w:rsidR="00D97931" w:rsidRDefault="00D97931">
            <w:pPr>
              <w:spacing w:before="60" w:after="60" w:line="240" w:lineRule="auto"/>
              <w:rPr>
                <w:sz w:val="20"/>
                <w:szCs w:val="20"/>
              </w:rPr>
            </w:pPr>
            <w:r>
              <w:rPr>
                <w:sz w:val="20"/>
                <w:szCs w:val="20"/>
              </w:rPr>
              <w:t>Sostinės regionas</w:t>
            </w:r>
          </w:p>
        </w:tc>
        <w:tc>
          <w:tcPr>
            <w:tcW w:w="1700" w:type="dxa"/>
            <w:tcBorders>
              <w:top w:val="single" w:sz="4" w:space="0" w:color="000000"/>
              <w:left w:val="single" w:sz="4" w:space="0" w:color="000000"/>
              <w:bottom w:val="single" w:sz="4" w:space="0" w:color="000000"/>
              <w:right w:val="single" w:sz="4" w:space="0" w:color="000000"/>
            </w:tcBorders>
          </w:tcPr>
          <w:p w14:paraId="549F6DFC" w14:textId="77777777" w:rsidR="00D97931" w:rsidRDefault="00D97931">
            <w:pPr>
              <w:spacing w:before="60" w:after="60" w:line="240" w:lineRule="auto"/>
              <w:rPr>
                <w:sz w:val="20"/>
                <w:szCs w:val="20"/>
                <w:lang w:val="en-US"/>
              </w:rPr>
            </w:pPr>
            <w:r>
              <w:rPr>
                <w:sz w:val="20"/>
                <w:szCs w:val="20"/>
                <w:lang w:val="en-US"/>
              </w:rPr>
              <w:t>0,01</w:t>
            </w:r>
          </w:p>
        </w:tc>
        <w:tc>
          <w:tcPr>
            <w:tcW w:w="823" w:type="dxa"/>
            <w:vMerge w:val="restart"/>
            <w:tcBorders>
              <w:top w:val="single" w:sz="4" w:space="0" w:color="000000"/>
              <w:left w:val="single" w:sz="4" w:space="0" w:color="000000"/>
              <w:bottom w:val="single" w:sz="4" w:space="0" w:color="000000"/>
              <w:right w:val="single" w:sz="4" w:space="0" w:color="000000"/>
            </w:tcBorders>
          </w:tcPr>
          <w:p w14:paraId="034B4D2B" w14:textId="77777777" w:rsidR="00D97931" w:rsidRDefault="00D97931">
            <w:pPr>
              <w:spacing w:before="60" w:after="60" w:line="240" w:lineRule="auto"/>
              <w:rPr>
                <w:sz w:val="20"/>
                <w:szCs w:val="20"/>
              </w:rPr>
            </w:pPr>
            <w:r>
              <w:rPr>
                <w:sz w:val="20"/>
                <w:szCs w:val="20"/>
              </w:rPr>
              <w:t>021</w:t>
            </w:r>
          </w:p>
          <w:p w14:paraId="7ADC1E51" w14:textId="77777777" w:rsidR="00D97931" w:rsidRDefault="00D97931">
            <w:pPr>
              <w:spacing w:before="60" w:after="60" w:line="240" w:lineRule="auto"/>
              <w:rPr>
                <w:sz w:val="20"/>
                <w:szCs w:val="20"/>
              </w:rPr>
            </w:pPr>
          </w:p>
          <w:p w14:paraId="6984165E" w14:textId="77777777" w:rsidR="00D97931" w:rsidRDefault="00D97931">
            <w:pPr>
              <w:spacing w:before="60" w:after="60" w:line="240" w:lineRule="auto"/>
              <w:rPr>
                <w:sz w:val="20"/>
                <w:szCs w:val="20"/>
              </w:rPr>
            </w:pPr>
          </w:p>
          <w:p w14:paraId="0B5AF82E" w14:textId="77777777" w:rsidR="00D97931" w:rsidRDefault="00D97931">
            <w:pPr>
              <w:spacing w:before="60" w:after="60" w:line="240" w:lineRule="auto"/>
              <w:rPr>
                <w:sz w:val="20"/>
                <w:szCs w:val="20"/>
              </w:rPr>
            </w:pPr>
          </w:p>
          <w:p w14:paraId="3BEFC2FF" w14:textId="77777777" w:rsidR="00D97931" w:rsidRDefault="00D97931">
            <w:pPr>
              <w:spacing w:before="60" w:after="60" w:line="240" w:lineRule="auto"/>
              <w:rPr>
                <w:sz w:val="20"/>
                <w:szCs w:val="20"/>
              </w:rPr>
            </w:pPr>
          </w:p>
          <w:p w14:paraId="781872A5" w14:textId="77777777" w:rsidR="00D97931" w:rsidRDefault="00D97931">
            <w:pPr>
              <w:spacing w:before="60" w:after="60" w:line="240" w:lineRule="auto"/>
              <w:rPr>
                <w:sz w:val="20"/>
                <w:szCs w:val="20"/>
              </w:rPr>
            </w:pPr>
          </w:p>
          <w:p w14:paraId="5CF3251E" w14:textId="77777777" w:rsidR="00D97931" w:rsidRDefault="00D97931">
            <w:pPr>
              <w:spacing w:before="60" w:after="60" w:line="240" w:lineRule="auto"/>
              <w:rPr>
                <w:sz w:val="20"/>
                <w:szCs w:val="20"/>
              </w:rPr>
            </w:pPr>
            <w:r>
              <w:rPr>
                <w:sz w:val="20"/>
                <w:szCs w:val="20"/>
              </w:rPr>
              <w:t>166</w:t>
            </w:r>
          </w:p>
          <w:p w14:paraId="76E3CF6E" w14:textId="77777777" w:rsidR="00D97931" w:rsidRDefault="00D97931">
            <w:pPr>
              <w:spacing w:before="60" w:after="60" w:line="240" w:lineRule="auto"/>
              <w:rPr>
                <w:sz w:val="20"/>
                <w:szCs w:val="20"/>
              </w:rPr>
            </w:pPr>
          </w:p>
          <w:p w14:paraId="1C999F81" w14:textId="77777777" w:rsidR="00D97931" w:rsidRDefault="00D97931">
            <w:pPr>
              <w:spacing w:before="60" w:after="60" w:line="240" w:lineRule="auto"/>
              <w:rPr>
                <w:sz w:val="20"/>
                <w:szCs w:val="20"/>
              </w:rPr>
            </w:pPr>
          </w:p>
          <w:p w14:paraId="4C88EB1C" w14:textId="77777777" w:rsidR="00D97931" w:rsidRDefault="00D97931">
            <w:pPr>
              <w:spacing w:before="60" w:after="60" w:line="240" w:lineRule="auto"/>
              <w:rPr>
                <w:sz w:val="20"/>
                <w:szCs w:val="20"/>
              </w:rPr>
            </w:pPr>
          </w:p>
          <w:p w14:paraId="3BB06372" w14:textId="77777777" w:rsidR="00D97931" w:rsidRDefault="00D97931">
            <w:pPr>
              <w:spacing w:before="60" w:after="60" w:line="240" w:lineRule="auto"/>
              <w:rPr>
                <w:sz w:val="20"/>
                <w:szCs w:val="20"/>
              </w:rPr>
            </w:pPr>
          </w:p>
          <w:p w14:paraId="78E3D0D2" w14:textId="77777777" w:rsidR="00D97931" w:rsidRDefault="00D97931">
            <w:pPr>
              <w:spacing w:before="60" w:after="60" w:line="240" w:lineRule="auto"/>
              <w:rPr>
                <w:sz w:val="20"/>
                <w:szCs w:val="20"/>
              </w:rPr>
            </w:pPr>
          </w:p>
          <w:p w14:paraId="56CF0245" w14:textId="77777777" w:rsidR="00D97931" w:rsidRDefault="00D97931">
            <w:pPr>
              <w:spacing w:before="60" w:after="60" w:line="240" w:lineRule="auto"/>
              <w:rPr>
                <w:sz w:val="20"/>
                <w:szCs w:val="20"/>
              </w:rPr>
            </w:pPr>
          </w:p>
          <w:p w14:paraId="5E97062E" w14:textId="77777777" w:rsidR="00D97931" w:rsidRDefault="00D97931">
            <w:pPr>
              <w:spacing w:before="60" w:after="60" w:line="240" w:lineRule="auto"/>
              <w:rPr>
                <w:sz w:val="20"/>
                <w:szCs w:val="20"/>
              </w:rPr>
            </w:pPr>
            <w:r>
              <w:rPr>
                <w:sz w:val="20"/>
                <w:szCs w:val="20"/>
              </w:rPr>
              <w:t>044</w:t>
            </w:r>
          </w:p>
        </w:tc>
        <w:tc>
          <w:tcPr>
            <w:tcW w:w="1276" w:type="dxa"/>
            <w:vMerge w:val="restart"/>
            <w:tcBorders>
              <w:top w:val="single" w:sz="4" w:space="0" w:color="000000"/>
              <w:left w:val="single" w:sz="4" w:space="0" w:color="000000"/>
              <w:bottom w:val="single" w:sz="4" w:space="0" w:color="000000"/>
              <w:right w:val="single" w:sz="4" w:space="0" w:color="000000"/>
            </w:tcBorders>
          </w:tcPr>
          <w:p w14:paraId="62D4E8E0" w14:textId="77777777" w:rsidR="00D97931" w:rsidRDefault="00D97931">
            <w:pPr>
              <w:spacing w:before="60" w:after="60" w:line="240" w:lineRule="auto"/>
              <w:rPr>
                <w:iCs/>
                <w:sz w:val="20"/>
                <w:szCs w:val="20"/>
              </w:rPr>
            </w:pPr>
            <w:r>
              <w:rPr>
                <w:iCs/>
                <w:sz w:val="20"/>
                <w:szCs w:val="20"/>
              </w:rPr>
              <w:lastRenderedPageBreak/>
              <w:t>MVĮ verslo plėtra ir tarptautinimas, įskaitant gamybines investicijas</w:t>
            </w:r>
          </w:p>
          <w:p w14:paraId="1CF6D53C" w14:textId="77777777" w:rsidR="00D97931" w:rsidRPr="003E2FF3" w:rsidRDefault="00D97931">
            <w:pPr>
              <w:spacing w:before="60" w:after="60" w:line="240" w:lineRule="auto"/>
              <w:rPr>
                <w:sz w:val="20"/>
                <w:szCs w:val="20"/>
              </w:rPr>
            </w:pPr>
            <w:r w:rsidRPr="003E2FF3">
              <w:rPr>
                <w:sz w:val="20"/>
                <w:szCs w:val="20"/>
              </w:rPr>
              <w:t xml:space="preserve">Kultūros paveldo ir kultūros paslaugų apsauga, </w:t>
            </w:r>
            <w:r w:rsidRPr="003E2FF3">
              <w:rPr>
                <w:sz w:val="20"/>
                <w:szCs w:val="20"/>
              </w:rPr>
              <w:lastRenderedPageBreak/>
              <w:t>plėtojimas ir skatinimas</w:t>
            </w:r>
          </w:p>
          <w:p w14:paraId="445F1BF0" w14:textId="77777777" w:rsidR="00D97931" w:rsidRPr="003E2FF3" w:rsidRDefault="00D97931">
            <w:pPr>
              <w:spacing w:before="60" w:after="60" w:line="240" w:lineRule="auto"/>
              <w:rPr>
                <w:sz w:val="20"/>
                <w:szCs w:val="20"/>
              </w:rPr>
            </w:pPr>
          </w:p>
          <w:p w14:paraId="0FBFA86C" w14:textId="77777777" w:rsidR="00D97931" w:rsidRPr="003E2FF3" w:rsidRDefault="00D97931">
            <w:pPr>
              <w:spacing w:before="60" w:after="60" w:line="240" w:lineRule="auto"/>
              <w:rPr>
                <w:sz w:val="20"/>
                <w:szCs w:val="20"/>
              </w:rPr>
            </w:pPr>
            <w:r w:rsidRPr="003E2FF3">
              <w:rPr>
                <w:sz w:val="20"/>
                <w:szCs w:val="20"/>
              </w:rPr>
              <w:t>Siekiant efektyvaus energijos vartojimo vykdoma viešosios infrastruktūros renovacija arba viešajai infrastruktūrai taikomos energijos vartojimo efektyvumo priemonės, parodomieji projektai ir pagalbinės priemonės</w:t>
            </w:r>
          </w:p>
        </w:tc>
        <w:tc>
          <w:tcPr>
            <w:tcW w:w="850" w:type="dxa"/>
            <w:vMerge/>
            <w:tcBorders>
              <w:left w:val="single" w:sz="4" w:space="0" w:color="000000"/>
              <w:right w:val="single" w:sz="4" w:space="0" w:color="000000"/>
            </w:tcBorders>
          </w:tcPr>
          <w:p w14:paraId="46ACEFBB" w14:textId="77777777" w:rsidR="00D97931" w:rsidRPr="003E2FF3" w:rsidRDefault="00D97931">
            <w:pPr>
              <w:snapToGrid w:val="0"/>
              <w:spacing w:before="60" w:after="60" w:line="240" w:lineRule="auto"/>
              <w:rPr>
                <w:sz w:val="20"/>
                <w:szCs w:val="20"/>
              </w:rPr>
            </w:pPr>
          </w:p>
        </w:tc>
        <w:tc>
          <w:tcPr>
            <w:tcW w:w="1162" w:type="dxa"/>
            <w:vMerge/>
            <w:tcBorders>
              <w:top w:val="single" w:sz="4" w:space="0" w:color="000000"/>
              <w:left w:val="single" w:sz="4" w:space="0" w:color="000000"/>
              <w:bottom w:val="single" w:sz="4" w:space="0" w:color="000000"/>
              <w:right w:val="single" w:sz="4" w:space="0" w:color="000000"/>
            </w:tcBorders>
          </w:tcPr>
          <w:p w14:paraId="7375B11F" w14:textId="77777777" w:rsidR="00D97931" w:rsidRDefault="00D97931">
            <w:pPr>
              <w:snapToGrid w:val="0"/>
              <w:spacing w:before="60" w:after="60" w:line="240" w:lineRule="auto"/>
              <w:jc w:val="center"/>
              <w:rPr>
                <w:sz w:val="20"/>
                <w:szCs w:val="20"/>
              </w:rPr>
            </w:pPr>
          </w:p>
        </w:tc>
        <w:tc>
          <w:tcPr>
            <w:tcW w:w="992" w:type="dxa"/>
            <w:vMerge/>
            <w:tcBorders>
              <w:top w:val="single" w:sz="4" w:space="0" w:color="000000"/>
              <w:left w:val="single" w:sz="4" w:space="0" w:color="000000"/>
              <w:bottom w:val="single" w:sz="4" w:space="0" w:color="000000"/>
              <w:right w:val="single" w:sz="4" w:space="0" w:color="000000"/>
            </w:tcBorders>
          </w:tcPr>
          <w:p w14:paraId="0518EA73" w14:textId="77777777" w:rsidR="00D97931" w:rsidRDefault="00D97931">
            <w:pPr>
              <w:snapToGrid w:val="0"/>
              <w:spacing w:before="60" w:after="60" w:line="240" w:lineRule="auto"/>
              <w:jc w:val="center"/>
              <w:rPr>
                <w:sz w:val="20"/>
                <w:szCs w:val="20"/>
              </w:rPr>
            </w:pPr>
          </w:p>
        </w:tc>
        <w:tc>
          <w:tcPr>
            <w:tcW w:w="1275" w:type="dxa"/>
            <w:vMerge/>
            <w:tcBorders>
              <w:top w:val="single" w:sz="4" w:space="0" w:color="000000"/>
              <w:left w:val="single" w:sz="4" w:space="0" w:color="000000"/>
              <w:bottom w:val="single" w:sz="4" w:space="0" w:color="000000"/>
              <w:right w:val="single" w:sz="4" w:space="0" w:color="000000"/>
            </w:tcBorders>
          </w:tcPr>
          <w:p w14:paraId="27E6FEBE" w14:textId="77777777" w:rsidR="00D97931" w:rsidRDefault="00D97931">
            <w:pPr>
              <w:snapToGrid w:val="0"/>
              <w:spacing w:before="60" w:after="60" w:line="240" w:lineRule="auto"/>
              <w:jc w:val="center"/>
              <w:rPr>
                <w:sz w:val="20"/>
                <w:szCs w:val="20"/>
              </w:rPr>
            </w:pPr>
          </w:p>
        </w:tc>
        <w:tc>
          <w:tcPr>
            <w:tcW w:w="1384" w:type="dxa"/>
            <w:vMerge/>
            <w:tcBorders>
              <w:top w:val="single" w:sz="4" w:space="0" w:color="000000"/>
              <w:left w:val="single" w:sz="4" w:space="0" w:color="000000"/>
              <w:bottom w:val="single" w:sz="4" w:space="0" w:color="000000"/>
              <w:right w:val="single" w:sz="4" w:space="0" w:color="000000"/>
            </w:tcBorders>
          </w:tcPr>
          <w:p w14:paraId="63C78501" w14:textId="77777777" w:rsidR="00D97931" w:rsidRDefault="00D97931">
            <w:pPr>
              <w:snapToGrid w:val="0"/>
              <w:spacing w:before="60" w:after="60" w:line="240" w:lineRule="auto"/>
              <w:rPr>
                <w:sz w:val="20"/>
                <w:szCs w:val="20"/>
              </w:rPr>
            </w:pPr>
          </w:p>
        </w:tc>
      </w:tr>
      <w:tr w:rsidR="00D97931" w14:paraId="3FA6416D" w14:textId="77777777" w:rsidTr="00923506">
        <w:trPr>
          <w:trHeight w:val="1430"/>
        </w:trPr>
        <w:tc>
          <w:tcPr>
            <w:tcW w:w="1242" w:type="dxa"/>
            <w:vMerge/>
            <w:tcBorders>
              <w:top w:val="single" w:sz="4" w:space="0" w:color="000000"/>
              <w:left w:val="single" w:sz="4" w:space="0" w:color="000000"/>
              <w:bottom w:val="single" w:sz="4" w:space="0" w:color="000000"/>
              <w:right w:val="single" w:sz="4" w:space="0" w:color="000000"/>
            </w:tcBorders>
          </w:tcPr>
          <w:p w14:paraId="40661E5E" w14:textId="77777777" w:rsidR="00D97931" w:rsidRDefault="00D97931">
            <w:pPr>
              <w:snapToGrid w:val="0"/>
              <w:spacing w:before="60" w:after="60" w:line="240" w:lineRule="auto"/>
              <w:rPr>
                <w:sz w:val="20"/>
                <w:szCs w:val="20"/>
              </w:rPr>
            </w:pPr>
          </w:p>
        </w:tc>
        <w:tc>
          <w:tcPr>
            <w:tcW w:w="740" w:type="dxa"/>
            <w:vMerge/>
            <w:tcBorders>
              <w:top w:val="single" w:sz="4" w:space="0" w:color="000000"/>
              <w:left w:val="single" w:sz="4" w:space="0" w:color="000000"/>
              <w:bottom w:val="single" w:sz="4" w:space="0" w:color="000000"/>
              <w:right w:val="single" w:sz="4" w:space="0" w:color="000000"/>
            </w:tcBorders>
          </w:tcPr>
          <w:p w14:paraId="28A7DA2F" w14:textId="77777777" w:rsidR="00D97931" w:rsidRDefault="00D97931">
            <w:pPr>
              <w:snapToGrid w:val="0"/>
              <w:spacing w:before="60" w:after="60" w:line="240" w:lineRule="auto"/>
              <w:rPr>
                <w:sz w:val="20"/>
                <w:szCs w:val="20"/>
              </w:rPr>
            </w:pPr>
          </w:p>
        </w:tc>
        <w:tc>
          <w:tcPr>
            <w:tcW w:w="1954" w:type="dxa"/>
            <w:vMerge/>
            <w:tcBorders>
              <w:top w:val="single" w:sz="4" w:space="0" w:color="000000"/>
              <w:left w:val="single" w:sz="4" w:space="0" w:color="000000"/>
              <w:bottom w:val="single" w:sz="4" w:space="0" w:color="000000"/>
              <w:right w:val="single" w:sz="4" w:space="0" w:color="000000"/>
            </w:tcBorders>
          </w:tcPr>
          <w:p w14:paraId="4A6A1557" w14:textId="77777777" w:rsidR="00D97931" w:rsidRDefault="00D97931">
            <w:pPr>
              <w:snapToGrid w:val="0"/>
              <w:spacing w:line="240" w:lineRule="auto"/>
              <w:jc w:val="both"/>
              <w:rPr>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62C18365" w14:textId="77777777" w:rsidR="00D97931" w:rsidRDefault="00D97931">
            <w:pPr>
              <w:spacing w:before="60" w:after="60" w:line="240" w:lineRule="auto"/>
              <w:rPr>
                <w:sz w:val="20"/>
                <w:szCs w:val="20"/>
              </w:rPr>
            </w:pPr>
            <w:r>
              <w:rPr>
                <w:sz w:val="20"/>
                <w:szCs w:val="20"/>
              </w:rPr>
              <w:t>VVL regionas</w:t>
            </w:r>
          </w:p>
        </w:tc>
        <w:tc>
          <w:tcPr>
            <w:tcW w:w="1700" w:type="dxa"/>
            <w:tcBorders>
              <w:top w:val="single" w:sz="4" w:space="0" w:color="000000"/>
              <w:left w:val="single" w:sz="4" w:space="0" w:color="000000"/>
              <w:bottom w:val="single" w:sz="4" w:space="0" w:color="000000"/>
              <w:right w:val="single" w:sz="4" w:space="0" w:color="000000"/>
            </w:tcBorders>
          </w:tcPr>
          <w:p w14:paraId="34DA9CE6" w14:textId="77777777" w:rsidR="00D97931" w:rsidRDefault="00D97931">
            <w:pPr>
              <w:spacing w:before="60" w:after="60" w:line="240" w:lineRule="auto"/>
              <w:rPr>
                <w:sz w:val="20"/>
                <w:szCs w:val="20"/>
              </w:rPr>
            </w:pPr>
            <w:r>
              <w:rPr>
                <w:sz w:val="20"/>
                <w:szCs w:val="20"/>
              </w:rPr>
              <w:t>0,01</w:t>
            </w:r>
          </w:p>
        </w:tc>
        <w:tc>
          <w:tcPr>
            <w:tcW w:w="823" w:type="dxa"/>
            <w:vMerge/>
            <w:tcBorders>
              <w:top w:val="single" w:sz="4" w:space="0" w:color="000000"/>
              <w:left w:val="single" w:sz="4" w:space="0" w:color="000000"/>
              <w:bottom w:val="single" w:sz="4" w:space="0" w:color="000000"/>
              <w:right w:val="single" w:sz="4" w:space="0" w:color="000000"/>
            </w:tcBorders>
          </w:tcPr>
          <w:p w14:paraId="41C1E9EA" w14:textId="77777777" w:rsidR="00D97931" w:rsidRDefault="00D97931">
            <w:pPr>
              <w:snapToGrid w:val="0"/>
              <w:spacing w:before="60" w:after="60" w:line="240" w:lineRule="auto"/>
              <w:rPr>
                <w:sz w:val="20"/>
                <w:szCs w:val="20"/>
              </w:rPr>
            </w:pPr>
          </w:p>
        </w:tc>
        <w:tc>
          <w:tcPr>
            <w:tcW w:w="1276" w:type="dxa"/>
            <w:vMerge/>
            <w:tcBorders>
              <w:top w:val="single" w:sz="4" w:space="0" w:color="000000"/>
              <w:left w:val="single" w:sz="4" w:space="0" w:color="000000"/>
              <w:bottom w:val="single" w:sz="4" w:space="0" w:color="000000"/>
              <w:right w:val="single" w:sz="4" w:space="0" w:color="000000"/>
            </w:tcBorders>
          </w:tcPr>
          <w:p w14:paraId="47377EFD" w14:textId="77777777" w:rsidR="00D97931" w:rsidRDefault="00D97931">
            <w:pPr>
              <w:snapToGrid w:val="0"/>
              <w:spacing w:before="60" w:after="60" w:line="240" w:lineRule="auto"/>
              <w:rPr>
                <w:sz w:val="20"/>
                <w:szCs w:val="20"/>
              </w:rPr>
            </w:pPr>
          </w:p>
        </w:tc>
        <w:tc>
          <w:tcPr>
            <w:tcW w:w="850" w:type="dxa"/>
            <w:vMerge/>
            <w:tcBorders>
              <w:left w:val="single" w:sz="4" w:space="0" w:color="000000"/>
              <w:bottom w:val="single" w:sz="4" w:space="0" w:color="000000"/>
              <w:right w:val="single" w:sz="4" w:space="0" w:color="000000"/>
            </w:tcBorders>
          </w:tcPr>
          <w:p w14:paraId="370F869A" w14:textId="77777777" w:rsidR="00D97931" w:rsidRDefault="00D97931">
            <w:pPr>
              <w:snapToGrid w:val="0"/>
              <w:spacing w:before="60" w:after="60" w:line="240" w:lineRule="auto"/>
              <w:rPr>
                <w:sz w:val="20"/>
                <w:szCs w:val="20"/>
              </w:rPr>
            </w:pPr>
          </w:p>
        </w:tc>
        <w:tc>
          <w:tcPr>
            <w:tcW w:w="1162" w:type="dxa"/>
            <w:vMerge/>
            <w:tcBorders>
              <w:top w:val="single" w:sz="4" w:space="0" w:color="000000"/>
              <w:left w:val="single" w:sz="4" w:space="0" w:color="000000"/>
              <w:bottom w:val="single" w:sz="4" w:space="0" w:color="000000"/>
              <w:right w:val="single" w:sz="4" w:space="0" w:color="000000"/>
            </w:tcBorders>
          </w:tcPr>
          <w:p w14:paraId="69ABA1DA" w14:textId="77777777" w:rsidR="00D97931" w:rsidRDefault="00D97931">
            <w:pPr>
              <w:snapToGrid w:val="0"/>
              <w:spacing w:before="60" w:after="60" w:line="240" w:lineRule="auto"/>
              <w:jc w:val="center"/>
              <w:rPr>
                <w:sz w:val="20"/>
                <w:szCs w:val="20"/>
              </w:rPr>
            </w:pPr>
          </w:p>
        </w:tc>
        <w:tc>
          <w:tcPr>
            <w:tcW w:w="992" w:type="dxa"/>
            <w:vMerge/>
            <w:tcBorders>
              <w:top w:val="single" w:sz="4" w:space="0" w:color="000000"/>
              <w:left w:val="single" w:sz="4" w:space="0" w:color="000000"/>
              <w:bottom w:val="single" w:sz="4" w:space="0" w:color="000000"/>
              <w:right w:val="single" w:sz="4" w:space="0" w:color="000000"/>
            </w:tcBorders>
          </w:tcPr>
          <w:p w14:paraId="786D1536" w14:textId="77777777" w:rsidR="00D97931" w:rsidRDefault="00D97931">
            <w:pPr>
              <w:snapToGrid w:val="0"/>
              <w:spacing w:before="60" w:after="60" w:line="240" w:lineRule="auto"/>
              <w:jc w:val="center"/>
              <w:rPr>
                <w:sz w:val="20"/>
                <w:szCs w:val="20"/>
              </w:rPr>
            </w:pPr>
          </w:p>
        </w:tc>
        <w:tc>
          <w:tcPr>
            <w:tcW w:w="1275" w:type="dxa"/>
            <w:vMerge/>
            <w:tcBorders>
              <w:top w:val="single" w:sz="4" w:space="0" w:color="000000"/>
              <w:left w:val="single" w:sz="4" w:space="0" w:color="000000"/>
              <w:bottom w:val="single" w:sz="4" w:space="0" w:color="000000"/>
              <w:right w:val="single" w:sz="4" w:space="0" w:color="000000"/>
            </w:tcBorders>
          </w:tcPr>
          <w:p w14:paraId="0BD3C3D6" w14:textId="77777777" w:rsidR="00D97931" w:rsidRDefault="00D97931">
            <w:pPr>
              <w:snapToGrid w:val="0"/>
              <w:spacing w:before="60" w:after="60" w:line="240" w:lineRule="auto"/>
              <w:jc w:val="center"/>
              <w:rPr>
                <w:sz w:val="20"/>
                <w:szCs w:val="20"/>
              </w:rPr>
            </w:pPr>
          </w:p>
        </w:tc>
        <w:tc>
          <w:tcPr>
            <w:tcW w:w="1384" w:type="dxa"/>
            <w:vMerge/>
            <w:tcBorders>
              <w:top w:val="single" w:sz="4" w:space="0" w:color="000000"/>
              <w:left w:val="single" w:sz="4" w:space="0" w:color="000000"/>
              <w:bottom w:val="single" w:sz="4" w:space="0" w:color="000000"/>
              <w:right w:val="single" w:sz="4" w:space="0" w:color="000000"/>
            </w:tcBorders>
          </w:tcPr>
          <w:p w14:paraId="560CAF19" w14:textId="77777777" w:rsidR="00D97931" w:rsidRDefault="00D97931">
            <w:pPr>
              <w:snapToGrid w:val="0"/>
              <w:spacing w:before="60" w:after="60" w:line="240" w:lineRule="auto"/>
              <w:jc w:val="center"/>
              <w:rPr>
                <w:sz w:val="20"/>
                <w:szCs w:val="20"/>
              </w:rPr>
            </w:pPr>
          </w:p>
        </w:tc>
      </w:tr>
    </w:tbl>
    <w:p w14:paraId="6828C94A" w14:textId="77777777" w:rsidR="009D5EC2" w:rsidRDefault="009D5EC2">
      <w:pPr>
        <w:sectPr w:rsidR="009D5EC2">
          <w:footerReference w:type="default" r:id="rId11"/>
          <w:footnotePr>
            <w:numRestart w:val="eachPage"/>
          </w:footnotePr>
          <w:pgSz w:w="16838" w:h="11906" w:orient="landscape"/>
          <w:pgMar w:top="1134" w:right="1134" w:bottom="1134" w:left="1134" w:header="0" w:footer="567" w:gutter="0"/>
          <w:cols w:space="1296"/>
          <w:formProt w:val="0"/>
          <w:docGrid w:linePitch="360"/>
        </w:sectPr>
      </w:pPr>
    </w:p>
    <w:p w14:paraId="7FBEFBCA" w14:textId="77777777" w:rsidR="009D5EC2" w:rsidRDefault="009D5EC2">
      <w:pPr>
        <w:pStyle w:val="Point0"/>
        <w:ind w:left="567" w:hanging="567"/>
        <w:jc w:val="both"/>
      </w:pPr>
      <w:r>
        <w:lastRenderedPageBreak/>
        <w:t>B.</w:t>
      </w:r>
      <w:r>
        <w:tab/>
        <w:t xml:space="preserve">Duomenys pagal veiksmo rūšį (pildoma kiekvienai veiksmo rūšiai) </w:t>
      </w:r>
    </w:p>
    <w:p w14:paraId="5CCE6167" w14:textId="77777777" w:rsidR="009D5EC2" w:rsidRDefault="009D5EC2">
      <w:pPr>
        <w:jc w:val="both"/>
      </w:pPr>
      <w:r>
        <w:t>Ar vadovaujančioji institucija gavo išorės bendrovės paramą toliau nurodytoms supaprastintai apmokamoms išlaidoms padengti?</w:t>
      </w:r>
    </w:p>
    <w:p w14:paraId="747B9158" w14:textId="77777777" w:rsidR="009D5EC2" w:rsidRDefault="009D5EC2">
      <w:pPr>
        <w:jc w:val="both"/>
      </w:pPr>
      <w:r>
        <w:t>Jei taip, nurodyti tą išorės bendrovę:</w:t>
      </w:r>
      <w:r>
        <w:tab/>
        <w:t xml:space="preserve">Taip / </w:t>
      </w:r>
      <w:r>
        <w:rPr>
          <w:b/>
          <w:bCs/>
          <w:u w:val="single"/>
        </w:rPr>
        <w:t>Ne</w:t>
      </w:r>
      <w:r>
        <w:t xml:space="preserve"> – Išorės bendrovės pavadinimas</w:t>
      </w:r>
    </w:p>
    <w:tbl>
      <w:tblPr>
        <w:tblW w:w="9493" w:type="dxa"/>
        <w:tblInd w:w="-20" w:type="dxa"/>
        <w:tblLayout w:type="fixed"/>
        <w:tblLook w:val="04A0" w:firstRow="1" w:lastRow="0" w:firstColumn="1" w:lastColumn="0" w:noHBand="0" w:noVBand="1"/>
      </w:tblPr>
      <w:tblGrid>
        <w:gridCol w:w="3417"/>
        <w:gridCol w:w="6076"/>
      </w:tblGrid>
      <w:tr w:rsidR="00CE1280" w14:paraId="36FACEF9" w14:textId="77777777" w:rsidTr="00055FB1">
        <w:trPr>
          <w:trHeight w:val="557"/>
        </w:trPr>
        <w:tc>
          <w:tcPr>
            <w:tcW w:w="3417" w:type="dxa"/>
            <w:tcBorders>
              <w:top w:val="single" w:sz="4" w:space="0" w:color="000000"/>
              <w:left w:val="single" w:sz="4" w:space="0" w:color="000000"/>
              <w:bottom w:val="single" w:sz="4" w:space="0" w:color="000000"/>
              <w:right w:val="single" w:sz="4" w:space="0" w:color="000000"/>
            </w:tcBorders>
            <w:vAlign w:val="center"/>
          </w:tcPr>
          <w:p w14:paraId="4383D082" w14:textId="77777777" w:rsidR="009D5EC2" w:rsidRDefault="009D5EC2">
            <w:pPr>
              <w:spacing w:before="0" w:line="276" w:lineRule="auto"/>
            </w:pPr>
            <w:r>
              <w:t>1. Veiksmo rūšies aprašymas, įskaitant įgyvendinimo tvarkaraštį</w:t>
            </w:r>
            <w:r>
              <w:rPr>
                <w:rStyle w:val="FootnoteAnchor"/>
                <w:bCs/>
              </w:rPr>
              <w:footnoteReference w:id="3"/>
            </w:r>
          </w:p>
        </w:tc>
        <w:tc>
          <w:tcPr>
            <w:tcW w:w="6076" w:type="dxa"/>
            <w:tcBorders>
              <w:top w:val="single" w:sz="4" w:space="0" w:color="000000"/>
              <w:left w:val="single" w:sz="4" w:space="0" w:color="000000"/>
              <w:bottom w:val="single" w:sz="4" w:space="0" w:color="000000"/>
              <w:right w:val="single" w:sz="4" w:space="0" w:color="000000"/>
            </w:tcBorders>
            <w:vAlign w:val="center"/>
          </w:tcPr>
          <w:p w14:paraId="766DCF0A" w14:textId="1C7B410B" w:rsidR="003E2FF3" w:rsidRDefault="009D5EC2" w:rsidP="00E82DF5">
            <w:pPr>
              <w:spacing w:before="0" w:after="0" w:line="276" w:lineRule="auto"/>
              <w:jc w:val="both"/>
              <w:rPr>
                <w:szCs w:val="24"/>
              </w:rPr>
            </w:pPr>
            <w:bookmarkStart w:id="1" w:name="_Hlk212103478"/>
            <w:r>
              <w:rPr>
                <w:szCs w:val="24"/>
              </w:rPr>
              <w:t xml:space="preserve">Įgyvendinant 2021–2027 m. Europos Sąjungos (toliau – ES) fondų investicijų programos 4-ojo politikos tikslo „Socialiai atsakingesnė ir įtraukesnė Europa“ 4 prioriteto „Socialiai atsakingesnė Lietuva“ </w:t>
            </w:r>
            <w:bookmarkStart w:id="2" w:name="_Hlk212104545"/>
            <w:r>
              <w:rPr>
                <w:szCs w:val="24"/>
              </w:rPr>
              <w:t>4.6. uždavinio (RSO4.6</w:t>
            </w:r>
            <w:r w:rsidR="003E2FF3">
              <w:rPr>
                <w:szCs w:val="24"/>
              </w:rPr>
              <w:t xml:space="preserve"> – </w:t>
            </w:r>
            <w:r>
              <w:rPr>
                <w:szCs w:val="24"/>
              </w:rPr>
              <w:t xml:space="preserve">SFC2021) „Stiprinti kultūros ir darnaus turizmo vaidmenį ekonominės plėtros, socialinės įtraukties ir socialinių inovacijų srityse“  investicines veiklas </w:t>
            </w:r>
            <w:r>
              <w:t xml:space="preserve"> </w:t>
            </w:r>
            <w:r>
              <w:rPr>
                <w:szCs w:val="24"/>
              </w:rPr>
              <w:t>„Skatinti KKI</w:t>
            </w:r>
            <w:r>
              <w:rPr>
                <w:rStyle w:val="FootnoteAnchor"/>
                <w:szCs w:val="24"/>
              </w:rPr>
              <w:footnoteReference w:id="4"/>
            </w:r>
            <w:r>
              <w:rPr>
                <w:szCs w:val="24"/>
              </w:rPr>
              <w:t xml:space="preserve"> indėlį į tvarią ir socialiai atsakingą ekonomiką“ bei</w:t>
            </w:r>
            <w:r>
              <w:t xml:space="preserve"> </w:t>
            </w:r>
            <w:r>
              <w:rPr>
                <w:szCs w:val="24"/>
              </w:rPr>
              <w:t xml:space="preserve">„Svarbiausių valstybei kultūros objektų modernizavimas </w:t>
            </w:r>
            <w:r w:rsidR="006F7605" w:rsidRPr="006F7605">
              <w:rPr>
                <w:szCs w:val="24"/>
              </w:rPr>
              <w:t xml:space="preserve">ir kūrimas </w:t>
            </w:r>
            <w:r>
              <w:rPr>
                <w:szCs w:val="24"/>
              </w:rPr>
              <w:t>siekiant paslaugų prieinamumo ir įtraukumo didinimo“</w:t>
            </w:r>
            <w:r w:rsidR="003E2FF3">
              <w:rPr>
                <w:szCs w:val="24"/>
              </w:rPr>
              <w:t>, skirtas:</w:t>
            </w:r>
          </w:p>
          <w:p w14:paraId="131A677A" w14:textId="6E6B88F3" w:rsidR="003E2FF3" w:rsidRPr="00C10A90" w:rsidRDefault="00C10A90" w:rsidP="005D6D34">
            <w:pPr>
              <w:spacing w:before="0" w:after="0" w:line="276" w:lineRule="auto"/>
              <w:jc w:val="both"/>
              <w:rPr>
                <w:szCs w:val="24"/>
              </w:rPr>
            </w:pPr>
            <w:r w:rsidRPr="00C10A90">
              <w:rPr>
                <w:szCs w:val="24"/>
              </w:rPr>
              <w:t xml:space="preserve">• </w:t>
            </w:r>
            <w:r w:rsidR="00DE4081" w:rsidRPr="00C10A90">
              <w:rPr>
                <w:szCs w:val="24"/>
              </w:rPr>
              <w:t>aptarti kuriamus dizaino sprendimus tinklaveikos renginiuose, pristatyti sukurtus rezultatus bendruomenei, susijusius su KKI akceleravimo programų vykdymu;</w:t>
            </w:r>
          </w:p>
          <w:p w14:paraId="23168FC8" w14:textId="47F44C28" w:rsidR="00DE4081" w:rsidRPr="00C10A90" w:rsidRDefault="00C10A90" w:rsidP="005D6D34">
            <w:pPr>
              <w:spacing w:before="0" w:after="0" w:line="276" w:lineRule="auto"/>
              <w:jc w:val="both"/>
              <w:rPr>
                <w:szCs w:val="24"/>
              </w:rPr>
            </w:pPr>
            <w:r w:rsidRPr="00C10A90">
              <w:rPr>
                <w:szCs w:val="24"/>
              </w:rPr>
              <w:t xml:space="preserve">• </w:t>
            </w:r>
            <w:r w:rsidR="00E82DF5" w:rsidRPr="00C10A90">
              <w:rPr>
                <w:szCs w:val="24"/>
              </w:rPr>
              <w:t>viešinti strateginės svarbos veiksmus ir veiksmus, kurių visos išlaidos viršija 10 mln. EUR bei surengti komunikacinius renginius su Europos Komisijos, atsakingos Vadovaujančios bei Administruojančiosios institucijos atstovais, žurnalistais ir pan. (BNR III skyrius, 50 str. 1 e))</w:t>
            </w:r>
            <w:r w:rsidR="00055FB1">
              <w:rPr>
                <w:szCs w:val="24"/>
              </w:rPr>
              <w:t>,</w:t>
            </w:r>
          </w:p>
          <w:bookmarkEnd w:id="2"/>
          <w:p w14:paraId="32E2E8AA" w14:textId="1C4FF807" w:rsidR="009D5EC2" w:rsidRDefault="009D5EC2">
            <w:pPr>
              <w:spacing w:before="0" w:line="276" w:lineRule="auto"/>
              <w:jc w:val="both"/>
              <w:rPr>
                <w:szCs w:val="24"/>
              </w:rPr>
            </w:pPr>
            <w:r>
              <w:rPr>
                <w:szCs w:val="24"/>
              </w:rPr>
              <w:t>bus finansuojami projektai, kuriuose bus taikomi nustatyti renginio</w:t>
            </w:r>
            <w:r>
              <w:rPr>
                <w:rStyle w:val="FootnoteAnchor"/>
                <w:szCs w:val="24"/>
              </w:rPr>
              <w:footnoteReference w:id="5"/>
            </w:r>
            <w:r>
              <w:rPr>
                <w:szCs w:val="24"/>
              </w:rPr>
              <w:t xml:space="preserve"> valandos vienam dalyviui fiksuotieji vieneto įkainiai, kompensuojant su renginiu susijusias išlaidas, išskyrus su bendrųjų įgūdžių mokymu</w:t>
            </w:r>
            <w:r>
              <w:rPr>
                <w:rStyle w:val="FootnoteAnchor"/>
                <w:szCs w:val="24"/>
              </w:rPr>
              <w:footnoteReference w:id="6"/>
            </w:r>
            <w:r>
              <w:rPr>
                <w:szCs w:val="24"/>
              </w:rPr>
              <w:t xml:space="preserve"> susijusias išlaidas.</w:t>
            </w:r>
          </w:p>
          <w:p w14:paraId="460488A4" w14:textId="77777777" w:rsidR="009D5EC2" w:rsidRDefault="009D5EC2">
            <w:pPr>
              <w:spacing w:before="0" w:line="240" w:lineRule="auto"/>
              <w:rPr>
                <w:szCs w:val="24"/>
                <w:lang w:eastAsia="lt-LT"/>
              </w:rPr>
            </w:pPr>
            <w:r>
              <w:rPr>
                <w:szCs w:val="24"/>
              </w:rPr>
              <w:t xml:space="preserve">Numatoma šių </w:t>
            </w:r>
            <w:r>
              <w:t xml:space="preserve">veiksmų atrankos pradžia – </w:t>
            </w:r>
            <w:r>
              <w:rPr>
                <w:iCs/>
              </w:rPr>
              <w:t xml:space="preserve">2025 m. II ketv., </w:t>
            </w:r>
            <w:r>
              <w:t xml:space="preserve">veiksmo pabaigos data </w:t>
            </w:r>
            <w:r>
              <w:rPr>
                <w:iCs/>
              </w:rPr>
              <w:t>– 2029 m. IV ketv.</w:t>
            </w:r>
            <w:r>
              <w:rPr>
                <w:rStyle w:val="FootnoteAnchor"/>
                <w:iCs/>
              </w:rPr>
              <w:footnoteReference w:id="7"/>
            </w:r>
            <w:bookmarkEnd w:id="1"/>
          </w:p>
        </w:tc>
      </w:tr>
      <w:tr w:rsidR="00CE1280" w14:paraId="1FD23E79" w14:textId="77777777">
        <w:trPr>
          <w:trHeight w:val="699"/>
        </w:trPr>
        <w:tc>
          <w:tcPr>
            <w:tcW w:w="3417" w:type="dxa"/>
            <w:tcBorders>
              <w:top w:val="single" w:sz="4" w:space="0" w:color="000000"/>
              <w:left w:val="single" w:sz="4" w:space="0" w:color="000000"/>
              <w:bottom w:val="single" w:sz="4" w:space="0" w:color="000000"/>
              <w:right w:val="single" w:sz="4" w:space="0" w:color="000000"/>
            </w:tcBorders>
            <w:vAlign w:val="center"/>
          </w:tcPr>
          <w:p w14:paraId="4EE306AA" w14:textId="77777777" w:rsidR="009D5EC2" w:rsidRDefault="009D5EC2">
            <w:pPr>
              <w:spacing w:before="0" w:line="276" w:lineRule="auto"/>
            </w:pPr>
            <w:r>
              <w:lastRenderedPageBreak/>
              <w:t xml:space="preserve">2. Konkretus (-ūs) tikslas (-ai) </w:t>
            </w:r>
          </w:p>
        </w:tc>
        <w:tc>
          <w:tcPr>
            <w:tcW w:w="6076" w:type="dxa"/>
            <w:tcBorders>
              <w:top w:val="single" w:sz="4" w:space="0" w:color="000000"/>
              <w:left w:val="single" w:sz="4" w:space="0" w:color="000000"/>
              <w:bottom w:val="single" w:sz="4" w:space="0" w:color="000000"/>
              <w:right w:val="single" w:sz="4" w:space="0" w:color="000000"/>
            </w:tcBorders>
            <w:vAlign w:val="center"/>
          </w:tcPr>
          <w:p w14:paraId="76838A49" w14:textId="77777777" w:rsidR="009D5EC2" w:rsidRDefault="009D5EC2">
            <w:pPr>
              <w:spacing w:before="0" w:line="276" w:lineRule="auto"/>
              <w:jc w:val="both"/>
              <w:rPr>
                <w:iCs/>
                <w:szCs w:val="24"/>
                <w:lang w:bidi="lt-LT"/>
              </w:rPr>
            </w:pPr>
            <w:r>
              <w:rPr>
                <w:szCs w:val="24"/>
              </w:rPr>
              <w:t xml:space="preserve">4.6 uždavinys (RSO4.6-SFC2021) „Stiprinti kultūros ir darnaus turizmo vaidmenį ekonominės plėtros, socialinės įtraukties ir socialinių inovacijų srityse“  </w:t>
            </w:r>
          </w:p>
          <w:p w14:paraId="2F5D0D41" w14:textId="4480D70B" w:rsidR="009D5EC2" w:rsidRDefault="009D5EC2">
            <w:pPr>
              <w:spacing w:before="0" w:line="276" w:lineRule="auto"/>
              <w:jc w:val="both"/>
              <w:rPr>
                <w:iCs/>
                <w:szCs w:val="24"/>
                <w:lang w:bidi="lt-LT"/>
              </w:rPr>
            </w:pPr>
            <w:r>
              <w:rPr>
                <w:iCs/>
                <w:szCs w:val="24"/>
                <w:lang w:bidi="lt-LT"/>
              </w:rPr>
              <w:t xml:space="preserve"> </w:t>
            </w:r>
          </w:p>
        </w:tc>
      </w:tr>
      <w:tr w:rsidR="00CE1280" w14:paraId="6C343D33" w14:textId="77777777">
        <w:trPr>
          <w:trHeight w:val="851"/>
        </w:trPr>
        <w:tc>
          <w:tcPr>
            <w:tcW w:w="3417" w:type="dxa"/>
            <w:tcBorders>
              <w:top w:val="single" w:sz="4" w:space="0" w:color="000000"/>
              <w:left w:val="single" w:sz="4" w:space="0" w:color="000000"/>
              <w:bottom w:val="single" w:sz="4" w:space="0" w:color="000000"/>
              <w:right w:val="single" w:sz="4" w:space="0" w:color="000000"/>
            </w:tcBorders>
            <w:vAlign w:val="center"/>
          </w:tcPr>
          <w:p w14:paraId="5FB362D9" w14:textId="77777777" w:rsidR="009D5EC2" w:rsidRDefault="009D5EC2">
            <w:pPr>
              <w:spacing w:before="0" w:after="0" w:line="276" w:lineRule="auto"/>
            </w:pPr>
            <w:r>
              <w:t>3. Rodiklis, kurį pasiekus išlaidos yra atlyginamos</w:t>
            </w:r>
            <w:r>
              <w:rPr>
                <w:rStyle w:val="FootnoteAnchor"/>
                <w:bCs/>
              </w:rPr>
              <w:footnoteReference w:id="8"/>
            </w:r>
          </w:p>
        </w:tc>
        <w:tc>
          <w:tcPr>
            <w:tcW w:w="6076" w:type="dxa"/>
            <w:tcBorders>
              <w:top w:val="single" w:sz="4" w:space="0" w:color="000000"/>
              <w:left w:val="single" w:sz="4" w:space="0" w:color="000000"/>
              <w:bottom w:val="single" w:sz="4" w:space="0" w:color="000000"/>
              <w:right w:val="single" w:sz="4" w:space="0" w:color="000000"/>
            </w:tcBorders>
            <w:vAlign w:val="center"/>
          </w:tcPr>
          <w:p w14:paraId="7FE41630" w14:textId="77777777" w:rsidR="009D5EC2" w:rsidRDefault="009D5EC2">
            <w:pPr>
              <w:spacing w:before="0" w:after="0" w:line="240" w:lineRule="auto"/>
              <w:jc w:val="both"/>
            </w:pPr>
            <w:r>
              <w:t>Renginio valanda vienam dalyviui, neįskaitant pietų pertraukos ir vakarienės laiko</w:t>
            </w:r>
          </w:p>
        </w:tc>
      </w:tr>
      <w:tr w:rsidR="00CE1280" w14:paraId="018DDE61" w14:textId="77777777">
        <w:trPr>
          <w:trHeight w:val="851"/>
        </w:trPr>
        <w:tc>
          <w:tcPr>
            <w:tcW w:w="3417" w:type="dxa"/>
            <w:tcBorders>
              <w:top w:val="single" w:sz="4" w:space="0" w:color="000000"/>
              <w:left w:val="single" w:sz="4" w:space="0" w:color="000000"/>
              <w:bottom w:val="single" w:sz="4" w:space="0" w:color="000000"/>
              <w:right w:val="single" w:sz="4" w:space="0" w:color="000000"/>
            </w:tcBorders>
            <w:vAlign w:val="center"/>
          </w:tcPr>
          <w:p w14:paraId="2B1CC0D8" w14:textId="77777777" w:rsidR="009D5EC2" w:rsidRDefault="009D5EC2">
            <w:pPr>
              <w:spacing w:before="0" w:after="0" w:line="276" w:lineRule="auto"/>
            </w:pPr>
            <w:r>
              <w:t>4. Rodiklio, kurį pasiekus išlaidos yra atlyginamos, matavimo vienetas</w:t>
            </w:r>
          </w:p>
        </w:tc>
        <w:tc>
          <w:tcPr>
            <w:tcW w:w="6076" w:type="dxa"/>
            <w:tcBorders>
              <w:top w:val="single" w:sz="4" w:space="0" w:color="000000"/>
              <w:left w:val="single" w:sz="4" w:space="0" w:color="000000"/>
              <w:bottom w:val="single" w:sz="4" w:space="0" w:color="000000"/>
              <w:right w:val="single" w:sz="4" w:space="0" w:color="000000"/>
            </w:tcBorders>
            <w:vAlign w:val="center"/>
          </w:tcPr>
          <w:p w14:paraId="091EE6EE" w14:textId="77777777" w:rsidR="009D5EC2" w:rsidRDefault="009D5EC2">
            <w:pPr>
              <w:spacing w:before="0" w:after="0" w:line="276" w:lineRule="auto"/>
              <w:jc w:val="both"/>
            </w:pPr>
            <w:r>
              <w:t xml:space="preserve">Renginio valandų skaičius vienam dalyviui, val. </w:t>
            </w:r>
          </w:p>
        </w:tc>
      </w:tr>
      <w:tr w:rsidR="00CE1280" w14:paraId="2021AE0E" w14:textId="77777777">
        <w:trPr>
          <w:trHeight w:val="851"/>
        </w:trPr>
        <w:tc>
          <w:tcPr>
            <w:tcW w:w="3417" w:type="dxa"/>
            <w:tcBorders>
              <w:top w:val="single" w:sz="4" w:space="0" w:color="000000"/>
              <w:left w:val="single" w:sz="4" w:space="0" w:color="000000"/>
              <w:bottom w:val="single" w:sz="4" w:space="0" w:color="000000"/>
              <w:right w:val="single" w:sz="4" w:space="0" w:color="000000"/>
            </w:tcBorders>
            <w:vAlign w:val="center"/>
          </w:tcPr>
          <w:p w14:paraId="3A98DF45" w14:textId="77777777" w:rsidR="009D5EC2" w:rsidRDefault="009D5EC2">
            <w:pPr>
              <w:spacing w:before="0" w:after="0" w:line="276" w:lineRule="auto"/>
            </w:pPr>
            <w:r>
              <w:t>5. Fiksuotasis vieneto įkainis, fiksuotoji suma arba fiksuotoji norma</w:t>
            </w:r>
          </w:p>
        </w:tc>
        <w:tc>
          <w:tcPr>
            <w:tcW w:w="6076" w:type="dxa"/>
            <w:tcBorders>
              <w:top w:val="single" w:sz="4" w:space="0" w:color="000000"/>
              <w:left w:val="single" w:sz="4" w:space="0" w:color="000000"/>
              <w:bottom w:val="single" w:sz="4" w:space="0" w:color="000000"/>
              <w:right w:val="single" w:sz="4" w:space="0" w:color="000000"/>
            </w:tcBorders>
            <w:vAlign w:val="center"/>
          </w:tcPr>
          <w:p w14:paraId="15BA1E1B" w14:textId="77777777" w:rsidR="009D5EC2" w:rsidRDefault="009D5EC2">
            <w:pPr>
              <w:spacing w:before="0" w:after="0" w:line="240" w:lineRule="auto"/>
              <w:jc w:val="both"/>
            </w:pPr>
            <w:r>
              <w:t>Fiksuotasis vieneto įkainis</w:t>
            </w:r>
          </w:p>
        </w:tc>
      </w:tr>
      <w:tr w:rsidR="00CE1280" w14:paraId="115F3D34" w14:textId="77777777">
        <w:trPr>
          <w:trHeight w:val="696"/>
        </w:trPr>
        <w:tc>
          <w:tcPr>
            <w:tcW w:w="3417" w:type="dxa"/>
            <w:tcBorders>
              <w:top w:val="single" w:sz="4" w:space="0" w:color="000000"/>
              <w:left w:val="single" w:sz="4" w:space="0" w:color="000000"/>
              <w:bottom w:val="single" w:sz="4" w:space="0" w:color="000000"/>
              <w:right w:val="single" w:sz="4" w:space="0" w:color="000000"/>
            </w:tcBorders>
            <w:vAlign w:val="center"/>
          </w:tcPr>
          <w:p w14:paraId="471F040F" w14:textId="77777777" w:rsidR="009D5EC2" w:rsidRDefault="009D5EC2">
            <w:pPr>
              <w:spacing w:before="0" w:line="276" w:lineRule="auto"/>
            </w:pPr>
            <w:r>
              <w:t>6. Supaprastinto išlaidų apmokėjimo suma už matavimo vienetą arba procentinis dydis (fiksuotųjų normų atveju)</w:t>
            </w:r>
          </w:p>
        </w:tc>
        <w:tc>
          <w:tcPr>
            <w:tcW w:w="6076" w:type="dxa"/>
            <w:tcBorders>
              <w:top w:val="single" w:sz="4" w:space="0" w:color="000000"/>
              <w:left w:val="single" w:sz="4" w:space="0" w:color="000000"/>
              <w:bottom w:val="single" w:sz="4" w:space="0" w:color="000000"/>
              <w:right w:val="single" w:sz="4" w:space="0" w:color="000000"/>
            </w:tcBorders>
            <w:vAlign w:val="center"/>
          </w:tcPr>
          <w:p w14:paraId="0BEB9D67" w14:textId="2253FE01" w:rsidR="009D5EC2" w:rsidRDefault="009D5EC2">
            <w:pPr>
              <w:spacing w:line="276" w:lineRule="auto"/>
              <w:jc w:val="both"/>
            </w:pPr>
            <w:r>
              <w:t>Renginio vienos valandos</w:t>
            </w:r>
            <w:r>
              <w:rPr>
                <w:rStyle w:val="FootnoteAnchor"/>
              </w:rPr>
              <w:footnoteReference w:id="9"/>
            </w:r>
            <w:r>
              <w:t xml:space="preserve"> vienam dalyviui fiksuotieji vieneto įkainiai:</w:t>
            </w:r>
          </w:p>
          <w:tbl>
            <w:tblPr>
              <w:tblW w:w="5850" w:type="dxa"/>
              <w:tblInd w:w="93" w:type="dxa"/>
              <w:tblLayout w:type="fixed"/>
              <w:tblLook w:val="04A0" w:firstRow="1" w:lastRow="0" w:firstColumn="1" w:lastColumn="0" w:noHBand="0" w:noVBand="1"/>
            </w:tblPr>
            <w:tblGrid>
              <w:gridCol w:w="656"/>
              <w:gridCol w:w="2346"/>
              <w:gridCol w:w="1424"/>
              <w:gridCol w:w="1424"/>
            </w:tblGrid>
            <w:tr w:rsidR="00522DBB" w14:paraId="025E4B67" w14:textId="77777777" w:rsidTr="009B2BE5">
              <w:tc>
                <w:tcPr>
                  <w:tcW w:w="656" w:type="dxa"/>
                  <w:vMerge w:val="restart"/>
                  <w:tcBorders>
                    <w:top w:val="single" w:sz="4" w:space="0" w:color="000000"/>
                    <w:left w:val="single" w:sz="4" w:space="0" w:color="000000"/>
                    <w:bottom w:val="single" w:sz="4" w:space="0" w:color="000000"/>
                    <w:right w:val="single" w:sz="4" w:space="0" w:color="000000"/>
                  </w:tcBorders>
                  <w:vAlign w:val="center"/>
                </w:tcPr>
                <w:p w14:paraId="690225BF" w14:textId="77777777" w:rsidR="00522DBB" w:rsidRDefault="00522DBB">
                  <w:pPr>
                    <w:spacing w:before="0" w:after="0" w:line="276" w:lineRule="auto"/>
                    <w:jc w:val="center"/>
                  </w:pPr>
                  <w:r>
                    <w:t>FD kod-as</w:t>
                  </w:r>
                </w:p>
              </w:tc>
              <w:tc>
                <w:tcPr>
                  <w:tcW w:w="2346" w:type="dxa"/>
                  <w:vMerge w:val="restart"/>
                  <w:tcBorders>
                    <w:top w:val="single" w:sz="4" w:space="0" w:color="000000"/>
                    <w:left w:val="single" w:sz="4" w:space="0" w:color="000000"/>
                    <w:right w:val="single" w:sz="4" w:space="0" w:color="000000"/>
                  </w:tcBorders>
                  <w:vAlign w:val="center"/>
                </w:tcPr>
                <w:p w14:paraId="126F0C79" w14:textId="69DAF6A2" w:rsidR="00522DBB" w:rsidRDefault="00522DBB">
                  <w:pPr>
                    <w:spacing w:before="0" w:after="0" w:line="276" w:lineRule="auto"/>
                  </w:pPr>
                  <w:r>
                    <w:t>Renginio kalba</w:t>
                  </w:r>
                </w:p>
                <w:p w14:paraId="493E29A4" w14:textId="77777777" w:rsidR="00522DBB" w:rsidRDefault="00522DBB">
                  <w:pPr>
                    <w:spacing w:before="0" w:after="0" w:line="276" w:lineRule="auto"/>
                  </w:pPr>
                </w:p>
              </w:tc>
              <w:tc>
                <w:tcPr>
                  <w:tcW w:w="2848" w:type="dxa"/>
                  <w:gridSpan w:val="2"/>
                  <w:tcBorders>
                    <w:top w:val="single" w:sz="4" w:space="0" w:color="000000"/>
                    <w:left w:val="single" w:sz="4" w:space="0" w:color="000000"/>
                    <w:bottom w:val="single" w:sz="4" w:space="0" w:color="000000"/>
                    <w:right w:val="single" w:sz="4" w:space="0" w:color="000000"/>
                  </w:tcBorders>
                </w:tcPr>
                <w:p w14:paraId="70D04E71" w14:textId="77777777" w:rsidR="00522DBB" w:rsidRDefault="00522DBB">
                  <w:pPr>
                    <w:spacing w:before="0" w:after="0" w:line="276" w:lineRule="auto"/>
                    <w:jc w:val="center"/>
                  </w:pPr>
                  <w:r>
                    <w:t>Renginio vienos valandos vienam dalyviui fiksuotasis vieneto įkainis, Eur</w:t>
                  </w:r>
                </w:p>
              </w:tc>
            </w:tr>
            <w:tr w:rsidR="00522DBB" w14:paraId="40C57A34" w14:textId="77777777" w:rsidTr="009B2BE5">
              <w:tc>
                <w:tcPr>
                  <w:tcW w:w="656" w:type="dxa"/>
                  <w:vMerge/>
                  <w:tcBorders>
                    <w:top w:val="single" w:sz="4" w:space="0" w:color="000000"/>
                    <w:left w:val="single" w:sz="4" w:space="0" w:color="000000"/>
                    <w:bottom w:val="single" w:sz="4" w:space="0" w:color="000000"/>
                    <w:right w:val="single" w:sz="4" w:space="0" w:color="000000"/>
                  </w:tcBorders>
                  <w:vAlign w:val="center"/>
                </w:tcPr>
                <w:p w14:paraId="767F55C1" w14:textId="77777777" w:rsidR="00522DBB" w:rsidRDefault="00522DBB">
                  <w:pPr>
                    <w:snapToGrid w:val="0"/>
                    <w:spacing w:before="0" w:after="0" w:line="276" w:lineRule="auto"/>
                  </w:pPr>
                </w:p>
              </w:tc>
              <w:tc>
                <w:tcPr>
                  <w:tcW w:w="2346" w:type="dxa"/>
                  <w:vMerge/>
                  <w:tcBorders>
                    <w:left w:val="single" w:sz="4" w:space="0" w:color="000000"/>
                    <w:bottom w:val="single" w:sz="4" w:space="0" w:color="000000"/>
                    <w:right w:val="single" w:sz="4" w:space="0" w:color="000000"/>
                  </w:tcBorders>
                  <w:vAlign w:val="center"/>
                </w:tcPr>
                <w:p w14:paraId="0E09B4D2" w14:textId="77777777" w:rsidR="00522DBB" w:rsidRDefault="00522DBB">
                  <w:pPr>
                    <w:snapToGrid w:val="0"/>
                    <w:spacing w:before="0" w:after="0" w:line="276" w:lineRule="auto"/>
                  </w:pPr>
                </w:p>
              </w:tc>
              <w:tc>
                <w:tcPr>
                  <w:tcW w:w="1424" w:type="dxa"/>
                  <w:tcBorders>
                    <w:top w:val="single" w:sz="4" w:space="0" w:color="000000"/>
                    <w:left w:val="single" w:sz="4" w:space="0" w:color="000000"/>
                    <w:bottom w:val="single" w:sz="4" w:space="0" w:color="000000"/>
                    <w:right w:val="single" w:sz="4" w:space="0" w:color="000000"/>
                  </w:tcBorders>
                  <w:vAlign w:val="center"/>
                </w:tcPr>
                <w:p w14:paraId="256A8F78" w14:textId="77777777" w:rsidR="00522DBB" w:rsidRDefault="00522DBB">
                  <w:pPr>
                    <w:spacing w:before="0" w:after="0" w:line="276" w:lineRule="auto"/>
                    <w:jc w:val="center"/>
                  </w:pPr>
                  <w:r>
                    <w:t>be PVM</w:t>
                  </w:r>
                </w:p>
              </w:tc>
              <w:tc>
                <w:tcPr>
                  <w:tcW w:w="1424" w:type="dxa"/>
                  <w:tcBorders>
                    <w:top w:val="single" w:sz="4" w:space="0" w:color="000000"/>
                    <w:left w:val="single" w:sz="4" w:space="0" w:color="000000"/>
                    <w:bottom w:val="single" w:sz="4" w:space="0" w:color="000000"/>
                    <w:right w:val="single" w:sz="4" w:space="0" w:color="000000"/>
                  </w:tcBorders>
                  <w:vAlign w:val="center"/>
                </w:tcPr>
                <w:p w14:paraId="040EA465" w14:textId="77777777" w:rsidR="00522DBB" w:rsidRDefault="00522DBB">
                  <w:pPr>
                    <w:spacing w:before="0" w:after="0" w:line="276" w:lineRule="auto"/>
                    <w:jc w:val="center"/>
                  </w:pPr>
                  <w:r>
                    <w:t>su PVM</w:t>
                  </w:r>
                </w:p>
              </w:tc>
            </w:tr>
            <w:tr w:rsidR="00CE1280" w14:paraId="56132AAE" w14:textId="77777777">
              <w:tc>
                <w:tcPr>
                  <w:tcW w:w="656" w:type="dxa"/>
                  <w:tcBorders>
                    <w:top w:val="single" w:sz="4" w:space="0" w:color="000000"/>
                    <w:left w:val="single" w:sz="4" w:space="0" w:color="000000"/>
                    <w:bottom w:val="single" w:sz="4" w:space="0" w:color="000000"/>
                    <w:right w:val="single" w:sz="4" w:space="0" w:color="000000"/>
                  </w:tcBorders>
                </w:tcPr>
                <w:p w14:paraId="72EDE99D" w14:textId="77777777" w:rsidR="009D5EC2" w:rsidRDefault="009D5EC2">
                  <w:pPr>
                    <w:spacing w:before="0" w:after="0" w:line="276" w:lineRule="auto"/>
                    <w:rPr>
                      <w:b/>
                      <w:bCs/>
                    </w:rPr>
                  </w:pPr>
                  <w:r>
                    <w:rPr>
                      <w:b/>
                      <w:bCs/>
                    </w:rPr>
                    <w:t>FĮ</w:t>
                  </w:r>
                  <w:r>
                    <w:rPr>
                      <w:b/>
                      <w:bCs/>
                      <w:vertAlign w:val="subscript"/>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2C282C3D" w14:textId="3713127C" w:rsidR="009D5EC2" w:rsidRDefault="00522DBB">
                  <w:pPr>
                    <w:snapToGrid w:val="0"/>
                    <w:spacing w:before="0" w:after="0" w:line="276" w:lineRule="auto"/>
                    <w:rPr>
                      <w:b/>
                      <w:bCs/>
                    </w:rPr>
                  </w:pPr>
                  <w:r>
                    <w:rPr>
                      <w:b/>
                      <w:bCs/>
                    </w:rPr>
                    <w:t>Lietuvių kalba</w:t>
                  </w:r>
                </w:p>
              </w:tc>
              <w:tc>
                <w:tcPr>
                  <w:tcW w:w="1424" w:type="dxa"/>
                  <w:tcBorders>
                    <w:top w:val="single" w:sz="4" w:space="0" w:color="000000"/>
                    <w:left w:val="single" w:sz="4" w:space="0" w:color="000000"/>
                    <w:bottom w:val="single" w:sz="4" w:space="0" w:color="000000"/>
                    <w:right w:val="single" w:sz="4" w:space="0" w:color="000000"/>
                  </w:tcBorders>
                  <w:vAlign w:val="center"/>
                </w:tcPr>
                <w:p w14:paraId="1C35F1E9" w14:textId="77777777" w:rsidR="009D5EC2" w:rsidRDefault="009D5EC2">
                  <w:pPr>
                    <w:spacing w:before="0" w:after="0" w:line="276" w:lineRule="auto"/>
                    <w:jc w:val="center"/>
                  </w:pPr>
                  <w:r>
                    <w:t>8,23</w:t>
                  </w:r>
                </w:p>
              </w:tc>
              <w:tc>
                <w:tcPr>
                  <w:tcW w:w="1424" w:type="dxa"/>
                  <w:tcBorders>
                    <w:top w:val="single" w:sz="4" w:space="0" w:color="000000"/>
                    <w:left w:val="single" w:sz="4" w:space="0" w:color="000000"/>
                    <w:bottom w:val="single" w:sz="4" w:space="0" w:color="000000"/>
                    <w:right w:val="single" w:sz="4" w:space="0" w:color="000000"/>
                  </w:tcBorders>
                  <w:vAlign w:val="center"/>
                </w:tcPr>
                <w:p w14:paraId="5C8E31A3" w14:textId="77777777" w:rsidR="009D5EC2" w:rsidRDefault="009D5EC2">
                  <w:pPr>
                    <w:spacing w:before="0" w:after="0" w:line="276" w:lineRule="auto"/>
                    <w:jc w:val="center"/>
                  </w:pPr>
                  <w:r>
                    <w:t>9,31</w:t>
                  </w:r>
                </w:p>
              </w:tc>
            </w:tr>
            <w:tr w:rsidR="00522DBB" w14:paraId="6999278A" w14:textId="77777777">
              <w:tc>
                <w:tcPr>
                  <w:tcW w:w="656" w:type="dxa"/>
                  <w:tcBorders>
                    <w:top w:val="single" w:sz="4" w:space="0" w:color="000000"/>
                    <w:left w:val="single" w:sz="4" w:space="0" w:color="000000"/>
                    <w:bottom w:val="single" w:sz="4" w:space="0" w:color="000000"/>
                    <w:right w:val="single" w:sz="4" w:space="0" w:color="000000"/>
                  </w:tcBorders>
                </w:tcPr>
                <w:p w14:paraId="2F7FB8BF" w14:textId="4B411C62" w:rsidR="00522DBB" w:rsidRDefault="00522DBB">
                  <w:pPr>
                    <w:spacing w:before="0" w:after="0" w:line="276" w:lineRule="auto"/>
                    <w:rPr>
                      <w:b/>
                      <w:bCs/>
                    </w:rPr>
                  </w:pPr>
                  <w:r>
                    <w:rPr>
                      <w:b/>
                      <w:bCs/>
                    </w:rPr>
                    <w:t>FĮ</w:t>
                  </w:r>
                  <w:r>
                    <w:rPr>
                      <w:b/>
                      <w:bCs/>
                      <w:vertAlign w:val="subscript"/>
                    </w:rPr>
                    <w:t>2</w:t>
                  </w:r>
                </w:p>
              </w:tc>
              <w:tc>
                <w:tcPr>
                  <w:tcW w:w="2346" w:type="dxa"/>
                  <w:tcBorders>
                    <w:top w:val="single" w:sz="4" w:space="0" w:color="000000"/>
                    <w:left w:val="single" w:sz="4" w:space="0" w:color="000000"/>
                    <w:bottom w:val="single" w:sz="4" w:space="0" w:color="000000"/>
                    <w:right w:val="single" w:sz="4" w:space="0" w:color="000000"/>
                  </w:tcBorders>
                  <w:vAlign w:val="center"/>
                </w:tcPr>
                <w:p w14:paraId="51DF4D67" w14:textId="265BB1C7" w:rsidR="00522DBB" w:rsidRDefault="00522DBB">
                  <w:pPr>
                    <w:snapToGrid w:val="0"/>
                    <w:spacing w:before="0" w:after="0" w:line="276" w:lineRule="auto"/>
                    <w:rPr>
                      <w:b/>
                      <w:bCs/>
                    </w:rPr>
                  </w:pPr>
                  <w:r>
                    <w:rPr>
                      <w:b/>
                      <w:bCs/>
                    </w:rPr>
                    <w:t>Užsienio kalba</w:t>
                  </w:r>
                </w:p>
              </w:tc>
              <w:tc>
                <w:tcPr>
                  <w:tcW w:w="1424" w:type="dxa"/>
                  <w:tcBorders>
                    <w:top w:val="single" w:sz="4" w:space="0" w:color="000000"/>
                    <w:left w:val="single" w:sz="4" w:space="0" w:color="000000"/>
                    <w:bottom w:val="single" w:sz="4" w:space="0" w:color="000000"/>
                    <w:right w:val="single" w:sz="4" w:space="0" w:color="000000"/>
                  </w:tcBorders>
                  <w:vAlign w:val="center"/>
                </w:tcPr>
                <w:p w14:paraId="7EA95656" w14:textId="686DF4D0" w:rsidR="00522DBB" w:rsidRDefault="00522DBB">
                  <w:pPr>
                    <w:spacing w:before="0" w:after="0" w:line="276" w:lineRule="auto"/>
                    <w:jc w:val="center"/>
                  </w:pPr>
                  <w:r>
                    <w:t>10,68</w:t>
                  </w:r>
                </w:p>
              </w:tc>
              <w:tc>
                <w:tcPr>
                  <w:tcW w:w="1424" w:type="dxa"/>
                  <w:tcBorders>
                    <w:top w:val="single" w:sz="4" w:space="0" w:color="000000"/>
                    <w:left w:val="single" w:sz="4" w:space="0" w:color="000000"/>
                    <w:bottom w:val="single" w:sz="4" w:space="0" w:color="000000"/>
                    <w:right w:val="single" w:sz="4" w:space="0" w:color="000000"/>
                  </w:tcBorders>
                  <w:vAlign w:val="center"/>
                </w:tcPr>
                <w:p w14:paraId="41620CFD" w14:textId="2A187F8F" w:rsidR="00522DBB" w:rsidRDefault="00522DBB">
                  <w:pPr>
                    <w:spacing w:before="0" w:after="0" w:line="276" w:lineRule="auto"/>
                    <w:jc w:val="center"/>
                  </w:pPr>
                  <w:r>
                    <w:t>12,81</w:t>
                  </w:r>
                </w:p>
              </w:tc>
            </w:tr>
          </w:tbl>
          <w:p w14:paraId="6C86FB2F" w14:textId="77777777" w:rsidR="009D5EC2" w:rsidRDefault="009D5EC2">
            <w:pPr>
              <w:spacing w:line="276" w:lineRule="auto"/>
              <w:jc w:val="both"/>
            </w:pPr>
            <w:r>
              <w:rPr>
                <w:szCs w:val="24"/>
              </w:rPr>
              <w:t>Nustatyti fiksuotieji vieneto įkainiai taikomi kompensuojant su renginiu susijusias išlaidas</w:t>
            </w:r>
            <w:r>
              <w:rPr>
                <w:bCs/>
                <w:szCs w:val="24"/>
              </w:rPr>
              <w:t>, nustatytą dydį dauginant iš renginio valandų ir renginio dalyvių skaičiaus.</w:t>
            </w:r>
          </w:p>
        </w:tc>
      </w:tr>
      <w:tr w:rsidR="00CE1280" w14:paraId="2E8296EC" w14:textId="77777777">
        <w:trPr>
          <w:trHeight w:val="851"/>
        </w:trPr>
        <w:tc>
          <w:tcPr>
            <w:tcW w:w="3417" w:type="dxa"/>
            <w:tcBorders>
              <w:top w:val="single" w:sz="4" w:space="0" w:color="000000"/>
              <w:left w:val="single" w:sz="4" w:space="0" w:color="000000"/>
              <w:bottom w:val="single" w:sz="4" w:space="0" w:color="000000"/>
              <w:right w:val="single" w:sz="4" w:space="0" w:color="000000"/>
            </w:tcBorders>
            <w:vAlign w:val="center"/>
          </w:tcPr>
          <w:p w14:paraId="0DBBA293" w14:textId="77777777" w:rsidR="009D5EC2" w:rsidRDefault="009D5EC2">
            <w:pPr>
              <w:spacing w:before="0" w:after="0" w:line="276" w:lineRule="auto"/>
            </w:pPr>
            <w:r>
              <w:t>7. Išlaidų kategorijos, kurioms taikomas vieneto įkainis, fiksuotoji suma arba fiksuotoji norma</w:t>
            </w:r>
          </w:p>
        </w:tc>
        <w:tc>
          <w:tcPr>
            <w:tcW w:w="6076" w:type="dxa"/>
            <w:tcBorders>
              <w:top w:val="single" w:sz="4" w:space="0" w:color="000000"/>
              <w:left w:val="single" w:sz="4" w:space="0" w:color="000000"/>
              <w:bottom w:val="single" w:sz="4" w:space="0" w:color="000000"/>
              <w:right w:val="single" w:sz="4" w:space="0" w:color="000000"/>
            </w:tcBorders>
            <w:vAlign w:val="center"/>
          </w:tcPr>
          <w:p w14:paraId="72589B18" w14:textId="77777777" w:rsidR="009D5EC2" w:rsidRDefault="009D5EC2">
            <w:pPr>
              <w:spacing w:after="0" w:line="276" w:lineRule="auto"/>
              <w:jc w:val="both"/>
            </w:pPr>
            <w:r>
              <w:t>Visos su renginiu tiesiogiai susijusios išlaidos:</w:t>
            </w:r>
          </w:p>
          <w:p w14:paraId="4C42E2AD" w14:textId="77777777" w:rsidR="009D5EC2" w:rsidRDefault="009D5EC2">
            <w:pPr>
              <w:pStyle w:val="Sraopastraipa"/>
              <w:numPr>
                <w:ilvl w:val="0"/>
                <w:numId w:val="9"/>
              </w:numPr>
              <w:spacing w:before="0" w:after="0" w:line="276" w:lineRule="auto"/>
              <w:jc w:val="both"/>
            </w:pPr>
            <w:r>
              <w:t>moderatoriaus / lektoriaus</w:t>
            </w:r>
            <w:r>
              <w:rPr>
                <w:rStyle w:val="FootnoteAnchor"/>
              </w:rPr>
              <w:footnoteReference w:id="10"/>
            </w:r>
            <w:r>
              <w:t xml:space="preserve">  paslaugų pirkimo / darbo užmokesčio išlaidos;</w:t>
            </w:r>
          </w:p>
          <w:p w14:paraId="3CFEE389" w14:textId="77777777" w:rsidR="009D5EC2" w:rsidRDefault="009D5EC2">
            <w:pPr>
              <w:pStyle w:val="Sraopastraipa"/>
              <w:numPr>
                <w:ilvl w:val="0"/>
                <w:numId w:val="9"/>
              </w:numPr>
              <w:spacing w:before="0" w:after="0" w:line="276" w:lineRule="auto"/>
              <w:jc w:val="both"/>
            </w:pPr>
            <w:r>
              <w:t xml:space="preserve">salės, įskaitant įrangą, nuomos išlaidos; </w:t>
            </w:r>
          </w:p>
          <w:p w14:paraId="196BCCB3" w14:textId="77777777" w:rsidR="009D5EC2" w:rsidRDefault="009D5EC2">
            <w:pPr>
              <w:pStyle w:val="Sraopastraipa"/>
              <w:numPr>
                <w:ilvl w:val="0"/>
                <w:numId w:val="9"/>
              </w:numPr>
              <w:spacing w:before="0" w:line="276" w:lineRule="auto"/>
              <w:jc w:val="both"/>
            </w:pPr>
            <w:r>
              <w:t>renginio dalyvių maitinimo (kavos pertraukėlių, pietų, vakarienės) išlaidos;</w:t>
            </w:r>
          </w:p>
          <w:p w14:paraId="57989EE8" w14:textId="77777777" w:rsidR="009D5EC2" w:rsidRDefault="009D5EC2">
            <w:pPr>
              <w:pStyle w:val="Sraopastraipa"/>
              <w:numPr>
                <w:ilvl w:val="0"/>
                <w:numId w:val="9"/>
              </w:numPr>
              <w:spacing w:before="0" w:line="276" w:lineRule="auto"/>
              <w:jc w:val="both"/>
            </w:pPr>
            <w:r>
              <w:t xml:space="preserve">renginio dalyvių apgyvendinimo išlaidos; </w:t>
            </w:r>
          </w:p>
          <w:p w14:paraId="151506BF" w14:textId="77777777" w:rsidR="009D5EC2" w:rsidRDefault="009D5EC2">
            <w:pPr>
              <w:pStyle w:val="Sraopastraipa"/>
              <w:numPr>
                <w:ilvl w:val="0"/>
                <w:numId w:val="9"/>
              </w:numPr>
              <w:spacing w:before="0" w:line="276" w:lineRule="auto"/>
              <w:jc w:val="both"/>
            </w:pPr>
            <w:r>
              <w:t>renginio dalyvių nuvykimo į renginį ir grįžimo iš jo išlaidos, patirtos Lietuvoje;</w:t>
            </w:r>
          </w:p>
          <w:p w14:paraId="62B08668" w14:textId="77777777" w:rsidR="009D5EC2" w:rsidRDefault="009D5EC2">
            <w:pPr>
              <w:pStyle w:val="Sraopastraipa"/>
              <w:numPr>
                <w:ilvl w:val="0"/>
                <w:numId w:val="9"/>
              </w:numPr>
              <w:spacing w:before="0" w:line="276" w:lineRule="auto"/>
              <w:jc w:val="both"/>
            </w:pPr>
            <w:r>
              <w:t>savanorių maitinimo išlaidos;</w:t>
            </w:r>
          </w:p>
          <w:p w14:paraId="29212663" w14:textId="77777777" w:rsidR="009D5EC2" w:rsidRDefault="009D5EC2">
            <w:pPr>
              <w:pStyle w:val="Sraopastraipa"/>
              <w:numPr>
                <w:ilvl w:val="0"/>
                <w:numId w:val="9"/>
              </w:numPr>
              <w:spacing w:before="0" w:line="276" w:lineRule="auto"/>
              <w:jc w:val="both"/>
            </w:pPr>
            <w:r>
              <w:lastRenderedPageBreak/>
              <w:t xml:space="preserve">kitos tiesiogiai su renginio organizavimu susijusios išlaidos (pavyzdžiui, renginio organizavimo paslaugų išlaidos, dalomosios medžiagos ir pan. išlaidos). </w:t>
            </w:r>
          </w:p>
          <w:p w14:paraId="77CA7F4D" w14:textId="77777777" w:rsidR="009D5EC2" w:rsidRDefault="009D5EC2">
            <w:pPr>
              <w:spacing w:before="0" w:line="276" w:lineRule="auto"/>
              <w:jc w:val="both"/>
            </w:pPr>
            <w:r>
              <w:t>Pagal nacionalinius teisės aktus, reglamentuojančius ES projektų įgyvendinimą, pridėtinės vertės mokestis (toliau – PVM) yra tinkamas finansuoti ūkio subjektams, kurie pagal PVM įstatymą negali PVM susigrąžinti arba jo nesusigrąžina. Projektus vykdys ūkio subjektai, kurie PVM susigrąžins ir taikys fiksuotuosius vieneto įkainius be PVM bei, kurie PVM nesusigrąžins ir taikys fiksuotuosius vieneto įkainius su PVM. Faktinis PVM tinkamumas finansuoti  yra nurodytas nacionaliniuose teisės aktuose, reglamentuojančiuose ES projektų įgyvendinimą.</w:t>
            </w:r>
          </w:p>
        </w:tc>
      </w:tr>
      <w:tr w:rsidR="00CE1280" w14:paraId="76CF8F52" w14:textId="77777777">
        <w:trPr>
          <w:trHeight w:val="851"/>
        </w:trPr>
        <w:tc>
          <w:tcPr>
            <w:tcW w:w="3417" w:type="dxa"/>
            <w:tcBorders>
              <w:top w:val="single" w:sz="4" w:space="0" w:color="000000"/>
              <w:left w:val="single" w:sz="4" w:space="0" w:color="000000"/>
              <w:bottom w:val="single" w:sz="4" w:space="0" w:color="000000"/>
              <w:right w:val="single" w:sz="4" w:space="0" w:color="000000"/>
            </w:tcBorders>
            <w:vAlign w:val="center"/>
          </w:tcPr>
          <w:p w14:paraId="62E4AF94" w14:textId="77777777" w:rsidR="009D5EC2" w:rsidRDefault="009D5EC2">
            <w:pPr>
              <w:spacing w:before="0" w:after="0" w:line="276" w:lineRule="auto"/>
            </w:pPr>
            <w:r>
              <w:t>8. Ar šios išlaidų kategorijos apima visas veiksmo tinkamas finansuoti išlaidas? (T/N)</w:t>
            </w:r>
          </w:p>
        </w:tc>
        <w:tc>
          <w:tcPr>
            <w:tcW w:w="6076" w:type="dxa"/>
            <w:tcBorders>
              <w:top w:val="single" w:sz="4" w:space="0" w:color="000000"/>
              <w:left w:val="single" w:sz="4" w:space="0" w:color="000000"/>
              <w:bottom w:val="single" w:sz="4" w:space="0" w:color="000000"/>
              <w:right w:val="single" w:sz="4" w:space="0" w:color="000000"/>
            </w:tcBorders>
            <w:vAlign w:val="center"/>
          </w:tcPr>
          <w:p w14:paraId="7A30A46B" w14:textId="77777777" w:rsidR="009D5EC2" w:rsidRDefault="009D5EC2">
            <w:pPr>
              <w:spacing w:before="0" w:after="0" w:line="276" w:lineRule="auto"/>
              <w:jc w:val="both"/>
            </w:pPr>
            <w:r>
              <w:t>N</w:t>
            </w:r>
          </w:p>
          <w:p w14:paraId="37208D0A" w14:textId="77777777" w:rsidR="009D5EC2" w:rsidRDefault="009D5EC2">
            <w:pPr>
              <w:spacing w:before="0" w:line="276" w:lineRule="auto"/>
              <w:jc w:val="both"/>
            </w:pPr>
            <w:r>
              <w:t>Konkrečių tikslų, išvardintų šio tyrimo B dalies 2 punkte, pasiekimui bus patiriamos ir kitos tiesioginės, su renginiu nesusijusios ir atitinkamai neįtrauktos į fiksuotuosius vieneto įkainius, ir netiesioginės išlaidos.</w:t>
            </w:r>
            <w:r>
              <w:rPr>
                <w:szCs w:val="24"/>
                <w:lang w:eastAsia="lt-LT"/>
              </w:rPr>
              <w:t xml:space="preserve"> </w:t>
            </w:r>
          </w:p>
        </w:tc>
      </w:tr>
      <w:tr w:rsidR="00CE1280" w14:paraId="70F63D22" w14:textId="77777777">
        <w:trPr>
          <w:trHeight w:val="1124"/>
        </w:trPr>
        <w:tc>
          <w:tcPr>
            <w:tcW w:w="3417" w:type="dxa"/>
            <w:tcBorders>
              <w:top w:val="single" w:sz="4" w:space="0" w:color="000000"/>
              <w:left w:val="single" w:sz="4" w:space="0" w:color="000000"/>
              <w:bottom w:val="single" w:sz="4" w:space="0" w:color="000000"/>
              <w:right w:val="single" w:sz="4" w:space="0" w:color="000000"/>
            </w:tcBorders>
            <w:vAlign w:val="center"/>
          </w:tcPr>
          <w:p w14:paraId="13BA4310" w14:textId="77777777" w:rsidR="009D5EC2" w:rsidRDefault="009D5EC2">
            <w:pPr>
              <w:spacing w:before="0" w:line="276" w:lineRule="auto"/>
            </w:pPr>
            <w:r>
              <w:t>9. Koregavimo (-ų) metodas</w:t>
            </w:r>
            <w:r>
              <w:rPr>
                <w:rStyle w:val="FootnoteAnchor"/>
                <w:bCs/>
              </w:rPr>
              <w:footnoteReference w:id="11"/>
            </w:r>
            <w:r>
              <w:rPr>
                <w:b/>
              </w:rPr>
              <w:t xml:space="preserve"> </w:t>
            </w:r>
          </w:p>
        </w:tc>
        <w:tc>
          <w:tcPr>
            <w:tcW w:w="6076" w:type="dxa"/>
            <w:tcBorders>
              <w:top w:val="single" w:sz="4" w:space="0" w:color="000000"/>
              <w:left w:val="single" w:sz="4" w:space="0" w:color="000000"/>
              <w:bottom w:val="single" w:sz="4" w:space="0" w:color="000000"/>
              <w:right w:val="single" w:sz="4" w:space="0" w:color="000000"/>
            </w:tcBorders>
            <w:vAlign w:val="center"/>
          </w:tcPr>
          <w:p w14:paraId="6BAB8378" w14:textId="77777777" w:rsidR="009D5EC2" w:rsidRDefault="009D5EC2">
            <w:pPr>
              <w:spacing w:before="60" w:line="276" w:lineRule="auto"/>
              <w:jc w:val="both"/>
            </w:pPr>
            <w:r>
              <w:t>Fiksuotieji vieneto įkainiai atnaujinami kiekvienais metais vieną kartą per metus iki N–tųjų metų I ketv. pab. pagal Valstybės duomenų agentūros pateiktą (viešą) informaciją apie vartotojų kainų pokyčius, apskaičiuotus pagal vartotojų kainų indeksą (toliau – VKI), lyginant su ankstesniais metais (pagal COICOP klasifikatorių – 00 kategorija „Vartojimo prekės ir paslaugos“)</w:t>
            </w:r>
            <w:r>
              <w:rPr>
                <w:rStyle w:val="FootnoteAnchor"/>
              </w:rPr>
              <w:footnoteReference w:id="12"/>
            </w:r>
            <w:r>
              <w:t>.</w:t>
            </w:r>
          </w:p>
          <w:p w14:paraId="2DDF7773" w14:textId="77777777" w:rsidR="009D5EC2" w:rsidRDefault="009D5EC2">
            <w:pPr>
              <w:spacing w:before="0" w:line="276" w:lineRule="auto"/>
              <w:jc w:val="both"/>
            </w:pPr>
            <w:bookmarkStart w:id="3" w:name="_Hlk84339882"/>
            <w:bookmarkEnd w:id="3"/>
            <w:r>
              <w:t>Pagal aukščiau numatytas sąlygas perskaičiuoti fiksuotieji vieneto įkainiai įsigalios nuo atnaujintų dydžių paskelbimo dienos ir galės būti taikomi fiksuotųjų vieneto įkainių rezultatui, pasiektam po atnaujintų fiksuotųjų vieneto įkainių įsigaliojimo dienos.</w:t>
            </w:r>
          </w:p>
        </w:tc>
      </w:tr>
      <w:tr w:rsidR="00CE1280" w14:paraId="01AD1D61" w14:textId="77777777">
        <w:trPr>
          <w:trHeight w:val="851"/>
        </w:trPr>
        <w:tc>
          <w:tcPr>
            <w:tcW w:w="3417" w:type="dxa"/>
            <w:tcBorders>
              <w:top w:val="single" w:sz="4" w:space="0" w:color="000000"/>
              <w:left w:val="single" w:sz="4" w:space="0" w:color="000000"/>
              <w:bottom w:val="single" w:sz="4" w:space="0" w:color="000000"/>
              <w:right w:val="single" w:sz="4" w:space="0" w:color="000000"/>
            </w:tcBorders>
            <w:vAlign w:val="center"/>
          </w:tcPr>
          <w:p w14:paraId="319430B2" w14:textId="77777777" w:rsidR="009D5EC2" w:rsidRDefault="009D5EC2">
            <w:pPr>
              <w:spacing w:before="0" w:after="0" w:line="276" w:lineRule="auto"/>
            </w:pPr>
            <w:r>
              <w:t>10. Vienetų pasiekimo tikrinimas</w:t>
            </w:r>
          </w:p>
          <w:p w14:paraId="1D1CF382" w14:textId="77777777" w:rsidR="009D5EC2" w:rsidRDefault="009D5EC2">
            <w:pPr>
              <w:spacing w:before="0" w:after="0" w:line="276" w:lineRule="auto"/>
            </w:pPr>
            <w:r>
              <w:t>–</w:t>
            </w:r>
            <w:r>
              <w:rPr>
                <w:rFonts w:eastAsia="Times New Roman"/>
              </w:rPr>
              <w:t xml:space="preserve"> </w:t>
            </w:r>
            <w:r>
              <w:t xml:space="preserve">Aprašykite, kokiu (-iais) dokumentu (-ais) / sistema bus </w:t>
            </w:r>
            <w:r>
              <w:lastRenderedPageBreak/>
              <w:t>remiamasi tikrinant, ar pateikti vienetai pasiekti</w:t>
            </w:r>
          </w:p>
          <w:p w14:paraId="7AB689B4" w14:textId="77777777" w:rsidR="009D5EC2" w:rsidRDefault="009D5EC2">
            <w:pPr>
              <w:spacing w:before="0" w:after="0" w:line="276" w:lineRule="auto"/>
            </w:pPr>
            <w:r>
              <w:t>–</w:t>
            </w:r>
            <w:r>
              <w:rPr>
                <w:rFonts w:eastAsia="Times New Roman"/>
              </w:rPr>
              <w:t xml:space="preserve"> </w:t>
            </w:r>
            <w:r>
              <w:t>Aprašykite, kas bus tikrinama valdymo patikrinimų metu ir kas juos atliks</w:t>
            </w:r>
          </w:p>
          <w:p w14:paraId="47CDC988" w14:textId="77777777" w:rsidR="009D5EC2" w:rsidRDefault="009D5EC2">
            <w:pPr>
              <w:spacing w:before="0" w:after="0" w:line="276" w:lineRule="auto"/>
            </w:pPr>
            <w:r>
              <w:t>–</w:t>
            </w:r>
            <w:r>
              <w:rPr>
                <w:rFonts w:eastAsia="Times New Roman"/>
              </w:rPr>
              <w:t xml:space="preserve"> </w:t>
            </w:r>
            <w:r>
              <w:t xml:space="preserve">Aprašykite, kokia bus atitinkamų duomenų / dokumentų rinkimo ir saugojimo tvarka </w:t>
            </w:r>
          </w:p>
        </w:tc>
        <w:tc>
          <w:tcPr>
            <w:tcW w:w="6076" w:type="dxa"/>
            <w:tcBorders>
              <w:top w:val="single" w:sz="4" w:space="0" w:color="000000"/>
              <w:left w:val="single" w:sz="4" w:space="0" w:color="000000"/>
              <w:bottom w:val="single" w:sz="4" w:space="0" w:color="000000"/>
              <w:right w:val="single" w:sz="4" w:space="0" w:color="000000"/>
            </w:tcBorders>
            <w:vAlign w:val="center"/>
          </w:tcPr>
          <w:p w14:paraId="3CB94C16" w14:textId="77777777" w:rsidR="009D5EC2" w:rsidRDefault="009D5EC2">
            <w:pPr>
              <w:spacing w:before="0" w:after="0" w:line="276" w:lineRule="auto"/>
              <w:jc w:val="both"/>
            </w:pPr>
            <w:r>
              <w:lastRenderedPageBreak/>
              <w:t xml:space="preserve">Siekiant gauti iš Europos Komisijos (toliau – EK) apmokėjimą pagal fiksuotuosius vieneto įkainius, fiksuotųjų vieneto įkainių rezultatui pagrįsti bus kaupiami rezultato pasiekimą </w:t>
            </w:r>
            <w:bookmarkStart w:id="4" w:name="_Hlk160180902"/>
            <w:r>
              <w:t>įrodantys dokumentai:</w:t>
            </w:r>
          </w:p>
          <w:p w14:paraId="2BA8AE20" w14:textId="77777777" w:rsidR="009D5EC2" w:rsidRDefault="009D5EC2">
            <w:pPr>
              <w:pStyle w:val="Sraopastraipa"/>
              <w:numPr>
                <w:ilvl w:val="0"/>
                <w:numId w:val="11"/>
              </w:numPr>
              <w:spacing w:before="0" w:after="0" w:line="276" w:lineRule="auto"/>
              <w:ind w:left="0" w:firstLine="867"/>
              <w:jc w:val="both"/>
            </w:pPr>
            <w:r>
              <w:lastRenderedPageBreak/>
              <w:t xml:space="preserve">Kai renginys: </w:t>
            </w:r>
          </w:p>
          <w:p w14:paraId="012CDC11" w14:textId="40AA0E2A" w:rsidR="009D5EC2" w:rsidRDefault="009D5EC2">
            <w:pPr>
              <w:pStyle w:val="Sraopastraipa"/>
              <w:numPr>
                <w:ilvl w:val="0"/>
                <w:numId w:val="1"/>
              </w:numPr>
              <w:spacing w:before="0" w:after="0" w:line="276" w:lineRule="auto"/>
              <w:jc w:val="both"/>
            </w:pPr>
            <w:r>
              <w:rPr>
                <w:i/>
                <w:iCs/>
              </w:rPr>
              <w:t>kontaktinis</w:t>
            </w:r>
            <w:r>
              <w:t xml:space="preserve"> – renginio dalyvių </w:t>
            </w:r>
            <w:r w:rsidRPr="007E7560">
              <w:t>sąrašas</w:t>
            </w:r>
            <w:r w:rsidR="005A01EE">
              <w:t xml:space="preserve"> su dalyvių parašais</w:t>
            </w:r>
            <w:r>
              <w:rPr>
                <w:rStyle w:val="FootnoteAnchor"/>
              </w:rPr>
              <w:footnoteReference w:id="13"/>
            </w:r>
            <w:r>
              <w:t xml:space="preserve">; </w:t>
            </w:r>
          </w:p>
          <w:p w14:paraId="310334DE" w14:textId="77777777" w:rsidR="009D5EC2" w:rsidRDefault="009D5EC2">
            <w:pPr>
              <w:pStyle w:val="Sraopastraipa"/>
              <w:numPr>
                <w:ilvl w:val="0"/>
                <w:numId w:val="1"/>
              </w:numPr>
              <w:spacing w:before="0" w:after="0" w:line="276" w:lineRule="auto"/>
              <w:jc w:val="both"/>
            </w:pPr>
            <w:r>
              <w:rPr>
                <w:i/>
                <w:iCs/>
              </w:rPr>
              <w:t xml:space="preserve">nuotolinis – </w:t>
            </w:r>
            <w:r>
              <w:t>kompiuterio ekranvaizdžiai su prisijungusių renginio dalyvių vardais, pavardėmis renginio pradžioje ir pabaigoje ir (jeigu taikoma) kompiuterinės programos, per kurią vyko nuotolinis renginys, ataskaita, kurioje būtų pateikta renginyje dalyvavusių asmenų vardai, pavardės ir prisijungimo informacija;</w:t>
            </w:r>
          </w:p>
          <w:p w14:paraId="6310076F" w14:textId="77777777" w:rsidR="009D5EC2" w:rsidRDefault="009D5EC2">
            <w:pPr>
              <w:pStyle w:val="Sraopastraipa"/>
              <w:numPr>
                <w:ilvl w:val="0"/>
                <w:numId w:val="1"/>
              </w:numPr>
              <w:spacing w:before="0" w:after="0" w:line="276" w:lineRule="auto"/>
              <w:jc w:val="both"/>
            </w:pPr>
            <w:r>
              <w:rPr>
                <w:i/>
                <w:iCs/>
              </w:rPr>
              <w:t>hibridinis –</w:t>
            </w:r>
            <w:r>
              <w:t xml:space="preserve"> renginio vietoje dalyvavusių renginio dalyvių sąrašas</w:t>
            </w:r>
            <w:r>
              <w:rPr>
                <w:b/>
                <w:bCs/>
                <w:vertAlign w:val="superscript"/>
              </w:rPr>
              <w:t>13</w:t>
            </w:r>
            <w:r>
              <w:t xml:space="preserve"> bei kompiuterio ekranvaizdžiai su iš nuotolio </w:t>
            </w:r>
            <w:bookmarkEnd w:id="4"/>
            <w:r>
              <w:t>prisijungusių renginio dalyvių vardais, pavardėmis renginio pradžioje ir pabaigoje, ir (jeigu taikoma) kompiuterinės programos, per kurią vyko nuotolinis renginys, ataskaita, kurioje būtų pateikta renginyje dalyvavusių asmenų vardai, pavardės ir prisijungimo informacija;</w:t>
            </w:r>
          </w:p>
          <w:p w14:paraId="78FA0A0B" w14:textId="77777777" w:rsidR="009D5EC2" w:rsidRDefault="009D5EC2">
            <w:pPr>
              <w:pStyle w:val="Sraopastraipa"/>
              <w:numPr>
                <w:ilvl w:val="0"/>
                <w:numId w:val="6"/>
              </w:numPr>
              <w:spacing w:before="0" w:after="0" w:line="276" w:lineRule="auto"/>
              <w:ind w:left="0" w:firstLine="867"/>
              <w:jc w:val="both"/>
            </w:pPr>
            <w:bookmarkStart w:id="5" w:name="_Hlk160434377"/>
            <w:bookmarkEnd w:id="5"/>
            <w:r>
              <w:t>Renginio programa.</w:t>
            </w:r>
          </w:p>
          <w:p w14:paraId="2B6052EA" w14:textId="77777777" w:rsidR="009D5EC2" w:rsidRDefault="009D5EC2">
            <w:pPr>
              <w:spacing w:before="0" w:after="0" w:line="276" w:lineRule="auto"/>
              <w:jc w:val="both"/>
              <w:rPr>
                <w:kern w:val="2"/>
                <w:szCs w:val="24"/>
                <w:lang w:eastAsia="en-GB"/>
              </w:rPr>
            </w:pPr>
          </w:p>
          <w:p w14:paraId="2959ABDB" w14:textId="77777777" w:rsidR="009D5EC2" w:rsidRPr="003E2FF3" w:rsidRDefault="009D5EC2">
            <w:pPr>
              <w:spacing w:before="0" w:after="0" w:line="276" w:lineRule="auto"/>
              <w:jc w:val="both"/>
              <w:rPr>
                <w:lang w:eastAsia="en-US"/>
              </w:rPr>
            </w:pPr>
            <w:r>
              <w:rPr>
                <w:kern w:val="2"/>
                <w:szCs w:val="24"/>
                <w:lang w:eastAsia="en-GB"/>
              </w:rPr>
              <w:t>Projekto vykdytojas kartu su mokėjimo prašymais</w:t>
            </w:r>
            <w:r>
              <w:rPr>
                <w:rStyle w:val="FootnoteAnchor"/>
                <w:kern w:val="2"/>
                <w:szCs w:val="24"/>
                <w:lang w:eastAsia="en-GB"/>
              </w:rPr>
              <w:footnoteReference w:id="14"/>
            </w:r>
            <w:r>
              <w:rPr>
                <w:b/>
                <w:bCs/>
                <w:kern w:val="2"/>
                <w:szCs w:val="24"/>
                <w:lang w:eastAsia="en-GB"/>
              </w:rPr>
              <w:t xml:space="preserve"> </w:t>
            </w:r>
            <w:r>
              <w:t xml:space="preserve"> administruojančiajai institucijai teiks fiksuotųjų vieneto įkainių rezultatą pagrindžiančius dokumentus, kurie kaupiami ir saugomi administruojančiosios institucijos informacinėje sistemoje. Administruojančioji institucija tikrins, ar pasiektas fiksuotųjų vieneto įkainių rezultatas. </w:t>
            </w:r>
          </w:p>
          <w:p w14:paraId="7022CA05" w14:textId="77777777" w:rsidR="009D5EC2" w:rsidRDefault="009D5EC2">
            <w:pPr>
              <w:spacing w:before="0" w:line="276" w:lineRule="auto"/>
              <w:jc w:val="both"/>
            </w:pPr>
            <w:r w:rsidRPr="003E2FF3">
              <w:rPr>
                <w:lang w:eastAsia="en-US"/>
              </w:rPr>
              <w:t>Projektų patikrų ir dokumentų rinkimo bei saugojimo tvarka vykdoma laikantis nacionaliniuose teisės aktuose</w:t>
            </w:r>
            <w:r w:rsidRPr="003E5790">
              <w:rPr>
                <w:vertAlign w:val="superscript"/>
                <w:lang w:eastAsia="en-US"/>
              </w:rPr>
              <w:t>14</w:t>
            </w:r>
            <w:r w:rsidRPr="003E2FF3">
              <w:rPr>
                <w:lang w:eastAsia="en-US"/>
              </w:rPr>
              <w:t>,</w:t>
            </w:r>
            <w:r>
              <w:t xml:space="preserve"> </w:t>
            </w:r>
            <w:r w:rsidRPr="003E2FF3">
              <w:rPr>
                <w:lang w:eastAsia="en-US"/>
              </w:rPr>
              <w:t>reglamentuojančiuose ES projektų įgyvendinimą, nustatytų reikalavimų.</w:t>
            </w:r>
          </w:p>
        </w:tc>
      </w:tr>
      <w:tr w:rsidR="00CE1280" w14:paraId="7A4EA804" w14:textId="77777777">
        <w:trPr>
          <w:trHeight w:val="413"/>
        </w:trPr>
        <w:tc>
          <w:tcPr>
            <w:tcW w:w="3417" w:type="dxa"/>
            <w:tcBorders>
              <w:top w:val="single" w:sz="4" w:space="0" w:color="000000"/>
              <w:left w:val="single" w:sz="4" w:space="0" w:color="000000"/>
              <w:bottom w:val="single" w:sz="4" w:space="0" w:color="000000"/>
              <w:right w:val="single" w:sz="4" w:space="0" w:color="000000"/>
            </w:tcBorders>
            <w:vAlign w:val="center"/>
          </w:tcPr>
          <w:p w14:paraId="694CB394" w14:textId="77777777" w:rsidR="009D5EC2" w:rsidRDefault="009D5EC2">
            <w:pPr>
              <w:spacing w:before="0" w:line="276" w:lineRule="auto"/>
              <w:jc w:val="both"/>
            </w:pPr>
            <w:r>
              <w:t>11. Galimos žalingos paskatos, švelninimo priemonės</w:t>
            </w:r>
            <w:r>
              <w:rPr>
                <w:rStyle w:val="FootnoteAnchor"/>
                <w:bCs/>
              </w:rPr>
              <w:footnoteReference w:id="15"/>
            </w:r>
            <w:r>
              <w:t xml:space="preserve"> ir </w:t>
            </w:r>
            <w:r>
              <w:lastRenderedPageBreak/>
              <w:t>apskaičiuotasis rizikos lygis (didelė / vidutinė / maža)</w:t>
            </w:r>
          </w:p>
        </w:tc>
        <w:tc>
          <w:tcPr>
            <w:tcW w:w="6076" w:type="dxa"/>
            <w:tcBorders>
              <w:top w:val="single" w:sz="4" w:space="0" w:color="000000"/>
              <w:left w:val="single" w:sz="4" w:space="0" w:color="000000"/>
              <w:bottom w:val="single" w:sz="4" w:space="0" w:color="000000"/>
              <w:right w:val="single" w:sz="4" w:space="0" w:color="000000"/>
            </w:tcBorders>
            <w:vAlign w:val="center"/>
          </w:tcPr>
          <w:p w14:paraId="3E922E74" w14:textId="77777777" w:rsidR="009D5EC2" w:rsidRDefault="009D5EC2">
            <w:pPr>
              <w:spacing w:before="0" w:line="276" w:lineRule="auto"/>
              <w:jc w:val="both"/>
            </w:pPr>
            <w:r>
              <w:rPr>
                <w:rStyle w:val="ui-provider"/>
              </w:rPr>
              <w:lastRenderedPageBreak/>
              <w:t xml:space="preserve">Gali būti, kad tame pačiame projekte kartu su renginiais bus įgyvendinamos ir kitos veiklos, kuriose bus patiriamos projektą vykdančio personalo darbo užmokesčio išlaidos </w:t>
            </w:r>
            <w:r>
              <w:rPr>
                <w:rStyle w:val="ui-provider"/>
              </w:rPr>
              <w:lastRenderedPageBreak/>
              <w:t xml:space="preserve">(finansuojamos pagal realiai patirtas išlaidas arba fiksuotąjį vieneto įkainį, nustatytą atskiru tyrimu), todėl kyla rizika, jog projektą vykdantis personalas vykdys tiek kitas veiklas, tiek ir renginio organizavimo veiklas, kurių išlaidos dengiamos taikant šiuo tyrimu nustatytus renginio vienos valandos vienam dalyviui fiksuotuosius vieneto įkainius. </w:t>
            </w:r>
          </w:p>
          <w:p w14:paraId="090CE206" w14:textId="77777777" w:rsidR="009D5EC2" w:rsidRDefault="009D5EC2">
            <w:pPr>
              <w:spacing w:before="0" w:line="276" w:lineRule="auto"/>
              <w:jc w:val="both"/>
            </w:pPr>
            <w:r>
              <w:rPr>
                <w:rStyle w:val="ui-provider"/>
              </w:rPr>
              <w:t>Rizikos lygis:</w:t>
            </w:r>
          </w:p>
          <w:p w14:paraId="4E47B767" w14:textId="77777777" w:rsidR="009D5EC2" w:rsidRDefault="009D5EC2">
            <w:pPr>
              <w:spacing w:before="0" w:line="276" w:lineRule="auto"/>
              <w:jc w:val="both"/>
            </w:pPr>
            <w:r>
              <w:rPr>
                <w:rStyle w:val="ui-provider"/>
              </w:rPr>
              <w:t>Vidutinė</w:t>
            </w:r>
          </w:p>
          <w:p w14:paraId="3053BF3D" w14:textId="77777777" w:rsidR="009D5EC2" w:rsidRDefault="009D5EC2">
            <w:pPr>
              <w:spacing w:before="0" w:line="276" w:lineRule="auto"/>
              <w:jc w:val="both"/>
            </w:pPr>
            <w:r>
              <w:rPr>
                <w:rStyle w:val="ui-provider"/>
              </w:rPr>
              <w:t>Rizikos sprendimo būdai:</w:t>
            </w:r>
          </w:p>
          <w:p w14:paraId="17DC5251" w14:textId="77777777" w:rsidR="009D5EC2" w:rsidRDefault="009D5EC2">
            <w:pPr>
              <w:spacing w:before="0" w:line="276" w:lineRule="auto"/>
              <w:jc w:val="both"/>
            </w:pPr>
            <w:r>
              <w:rPr>
                <w:rStyle w:val="ui-provider"/>
              </w:rPr>
              <w:t xml:space="preserve">Renginio vienos valandos vienam dalyviui fiksuotojo vieneto įkainio tyrime yra nurodyta, kad į fiksuotuosius vieneto įkainius įtrauktos visos su renginiu tiesiogiai susijusios išlaidos. Tose veiklose, kuriose bus taikomas šis dydis, moderatorių/lektorių darbo užmokesčio išlaidos ar jų dalis negali būti kompensuojamos atskirai. Jei projekte įdarbinamas asmuo kaip projektą vykdantis personalas, kurio funkcijos yra ne tik susijusios su kitų veiklų vykdymu bet ir su renginio moderavimo ar vedimo funkcijomis, administruojančioji institucija turi įsitikinti, kad tokios išlaidos nėra deklaruojamos du kartus. </w:t>
            </w:r>
          </w:p>
        </w:tc>
      </w:tr>
      <w:tr w:rsidR="00CE1280" w14:paraId="7427ABD8" w14:textId="77777777">
        <w:trPr>
          <w:trHeight w:val="4810"/>
        </w:trPr>
        <w:tc>
          <w:tcPr>
            <w:tcW w:w="3417" w:type="dxa"/>
            <w:tcBorders>
              <w:top w:val="single" w:sz="4" w:space="0" w:color="000000"/>
              <w:left w:val="single" w:sz="4" w:space="0" w:color="000000"/>
              <w:bottom w:val="single" w:sz="4" w:space="0" w:color="000000"/>
              <w:right w:val="single" w:sz="4" w:space="0" w:color="000000"/>
            </w:tcBorders>
            <w:vAlign w:val="center"/>
          </w:tcPr>
          <w:p w14:paraId="3690A34E" w14:textId="77777777" w:rsidR="009D5EC2" w:rsidRDefault="009D5EC2">
            <w:pPr>
              <w:spacing w:before="0" w:after="0" w:line="276" w:lineRule="auto"/>
              <w:jc w:val="both"/>
            </w:pPr>
            <w:r>
              <w:lastRenderedPageBreak/>
              <w:t>12. Visa suma (nacionalinė ir ES), kurią, tikimasi, Komisija šiuo pagrindu atlygins</w:t>
            </w:r>
          </w:p>
        </w:tc>
        <w:tc>
          <w:tcPr>
            <w:tcW w:w="6076" w:type="dxa"/>
            <w:tcBorders>
              <w:top w:val="single" w:sz="4" w:space="0" w:color="000000"/>
              <w:left w:val="single" w:sz="4" w:space="0" w:color="000000"/>
              <w:bottom w:val="single" w:sz="4" w:space="0" w:color="000000"/>
              <w:right w:val="single" w:sz="4" w:space="0" w:color="000000"/>
            </w:tcBorders>
            <w:vAlign w:val="center"/>
          </w:tcPr>
          <w:p w14:paraId="10B8D4F5" w14:textId="3B8D8341" w:rsidR="009D5EC2" w:rsidRDefault="009D5EC2">
            <w:pPr>
              <w:spacing w:before="60" w:after="60" w:line="240" w:lineRule="auto"/>
            </w:pPr>
            <w:r>
              <w:rPr>
                <w:szCs w:val="24"/>
                <w:u w:val="single"/>
              </w:rPr>
              <w:t>Europos regioninės plėtros fondas</w:t>
            </w:r>
          </w:p>
          <w:p w14:paraId="1DCE8184" w14:textId="77777777" w:rsidR="009D5EC2" w:rsidRDefault="009D5EC2">
            <w:pPr>
              <w:spacing w:before="60" w:after="60" w:line="240" w:lineRule="auto"/>
            </w:pPr>
            <w:r>
              <w:rPr>
                <w:b/>
                <w:bCs/>
                <w:szCs w:val="24"/>
                <w:u w:val="single"/>
              </w:rPr>
              <w:t>4.6 uždavinys:</w:t>
            </w:r>
          </w:p>
          <w:p w14:paraId="164B5582" w14:textId="77777777" w:rsidR="009D5EC2" w:rsidRDefault="009D5EC2">
            <w:pPr>
              <w:spacing w:before="60" w:after="60" w:line="240" w:lineRule="auto"/>
              <w:rPr>
                <w:szCs w:val="24"/>
                <w:u w:val="single"/>
              </w:rPr>
            </w:pPr>
            <w:r>
              <w:t>462 474,31 Eur (nacionalinė ir ES), iš kurių:</w:t>
            </w:r>
          </w:p>
          <w:p w14:paraId="631C2AAD" w14:textId="77777777" w:rsidR="009D5EC2" w:rsidRDefault="009D5EC2">
            <w:pPr>
              <w:spacing w:before="60" w:after="60" w:line="240" w:lineRule="auto"/>
              <w:rPr>
                <w:szCs w:val="24"/>
              </w:rPr>
            </w:pPr>
            <w:r>
              <w:rPr>
                <w:szCs w:val="24"/>
              </w:rPr>
              <w:t>Sostinės regionas</w:t>
            </w:r>
          </w:p>
          <w:p w14:paraId="4A9E0F81" w14:textId="77777777" w:rsidR="009D5EC2" w:rsidRDefault="009D5EC2">
            <w:pPr>
              <w:spacing w:before="60" w:after="60" w:line="240" w:lineRule="auto"/>
              <w:rPr>
                <w:szCs w:val="24"/>
              </w:rPr>
            </w:pPr>
            <w:r>
              <w:rPr>
                <w:szCs w:val="24"/>
              </w:rPr>
              <w:t>270 521,40 Eur, iš kurių:</w:t>
            </w:r>
          </w:p>
          <w:p w14:paraId="2CC5ADD8" w14:textId="77777777" w:rsidR="009D5EC2" w:rsidRDefault="009D5EC2">
            <w:pPr>
              <w:spacing w:before="60" w:after="60" w:line="240" w:lineRule="auto"/>
            </w:pPr>
            <w:r>
              <w:rPr>
                <w:szCs w:val="24"/>
              </w:rPr>
              <w:t xml:space="preserve">135 260,70 Eur </w:t>
            </w:r>
            <w:r>
              <w:t>(nacionalinė suma);</w:t>
            </w:r>
          </w:p>
          <w:p w14:paraId="36AAF31D" w14:textId="77777777" w:rsidR="009D5EC2" w:rsidRDefault="009D5EC2">
            <w:pPr>
              <w:spacing w:before="60" w:after="60" w:line="240" w:lineRule="auto"/>
            </w:pPr>
            <w:r>
              <w:t>135 260,70 Eur (ES suma).</w:t>
            </w:r>
          </w:p>
          <w:p w14:paraId="573D697D" w14:textId="77777777" w:rsidR="009D5EC2" w:rsidRDefault="009D5EC2">
            <w:pPr>
              <w:spacing w:before="60" w:after="60" w:line="240" w:lineRule="auto"/>
            </w:pPr>
            <w:r>
              <w:t>VVL regionas</w:t>
            </w:r>
          </w:p>
          <w:p w14:paraId="6A04C4F6" w14:textId="77777777" w:rsidR="009D5EC2" w:rsidRDefault="009D5EC2">
            <w:pPr>
              <w:spacing w:before="60" w:after="60" w:line="240" w:lineRule="auto"/>
            </w:pPr>
            <w:r>
              <w:t>191 952,91 Eur, iš kurių:</w:t>
            </w:r>
          </w:p>
          <w:p w14:paraId="5405086D" w14:textId="77777777" w:rsidR="009D5EC2" w:rsidRDefault="009D5EC2">
            <w:pPr>
              <w:spacing w:before="60" w:after="60" w:line="240" w:lineRule="auto"/>
            </w:pPr>
            <w:r>
              <w:rPr>
                <w:szCs w:val="24"/>
              </w:rPr>
              <w:t xml:space="preserve">28 792,94 Eur </w:t>
            </w:r>
            <w:r>
              <w:t>(nacionalinė suma);</w:t>
            </w:r>
          </w:p>
          <w:p w14:paraId="60212F7D" w14:textId="77777777" w:rsidR="009D5EC2" w:rsidRDefault="009D5EC2">
            <w:pPr>
              <w:spacing w:before="60" w:after="60" w:line="240" w:lineRule="auto"/>
            </w:pPr>
            <w:r>
              <w:t xml:space="preserve">163 159,97 Eur (ES suma). </w:t>
            </w:r>
          </w:p>
        </w:tc>
      </w:tr>
    </w:tbl>
    <w:p w14:paraId="30F86AB7" w14:textId="77777777" w:rsidR="009D5EC2" w:rsidRDefault="009D5EC2">
      <w:pPr>
        <w:pStyle w:val="Point0"/>
        <w:ind w:left="567" w:hanging="567"/>
        <w:jc w:val="both"/>
      </w:pPr>
      <w:r>
        <w:t>C.</w:t>
      </w:r>
      <w:r>
        <w:tab/>
        <w:t>Fiksuotųjų vieneto įkainių, fiksuotųjų sumų arba fiksuotųjų normų apskaičiavimas.</w:t>
      </w:r>
    </w:p>
    <w:p w14:paraId="4522C207" w14:textId="77777777" w:rsidR="009D5EC2" w:rsidRDefault="009D5EC2">
      <w:pPr>
        <w:pStyle w:val="Point0"/>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W w:w="9628" w:type="dxa"/>
        <w:tblInd w:w="-113" w:type="dxa"/>
        <w:tblLayout w:type="fixed"/>
        <w:tblLook w:val="04A0" w:firstRow="1" w:lastRow="0" w:firstColumn="1" w:lastColumn="0" w:noHBand="0" w:noVBand="1"/>
      </w:tblPr>
      <w:tblGrid>
        <w:gridCol w:w="9628"/>
      </w:tblGrid>
      <w:tr w:rsidR="00CE1280" w14:paraId="3AE6E42C" w14:textId="77777777">
        <w:tc>
          <w:tcPr>
            <w:tcW w:w="9628" w:type="dxa"/>
            <w:tcBorders>
              <w:top w:val="single" w:sz="4" w:space="0" w:color="000000"/>
              <w:left w:val="single" w:sz="4" w:space="0" w:color="000000"/>
              <w:bottom w:val="single" w:sz="4" w:space="0" w:color="000000"/>
              <w:right w:val="single" w:sz="4" w:space="0" w:color="000000"/>
            </w:tcBorders>
          </w:tcPr>
          <w:p w14:paraId="617A4E53" w14:textId="77777777" w:rsidR="009D5EC2" w:rsidRDefault="009D5EC2">
            <w:pPr>
              <w:spacing w:line="276" w:lineRule="auto"/>
              <w:ind w:firstLine="459"/>
              <w:jc w:val="both"/>
            </w:pPr>
            <w:r>
              <w:lastRenderedPageBreak/>
              <w:t xml:space="preserve">Fiksuotieji vieneto įkainiai buvo nustatyti remiantis 2014–2020 m. programavimo laikotarpiu baigtų įgyvendinti projektų, kuriuose buvo patiriamos renginio organizavimo išlaidos,  istoriniais duomenimis. </w:t>
            </w:r>
            <w:r>
              <w:rPr>
                <w:bCs/>
              </w:rPr>
              <w:t xml:space="preserve">Vertintų duomenų laikotarpis pagal išlaidų deklaruotinumo </w:t>
            </w:r>
            <w:r>
              <w:t xml:space="preserve">EK </w:t>
            </w:r>
            <w:r>
              <w:rPr>
                <w:bCs/>
              </w:rPr>
              <w:t xml:space="preserve">datą apima laikotarpį nuo </w:t>
            </w:r>
            <w:r>
              <w:t>2021 m. sausio mėn. iki 2023 m. gruodžio mėn. (imtinai). Vertintų projektų informacija pateikiama 1 priede.</w:t>
            </w:r>
          </w:p>
          <w:p w14:paraId="2C1BA071" w14:textId="77777777" w:rsidR="009D5EC2" w:rsidRDefault="009D5EC2">
            <w:pPr>
              <w:pStyle w:val="Point0"/>
              <w:spacing w:before="0" w:line="276" w:lineRule="auto"/>
              <w:ind w:left="0" w:firstLine="567"/>
              <w:jc w:val="both"/>
            </w:pPr>
            <w:r>
              <w:t>Tyrimą atliko VšĮ Europos socialinio fondo agentūros Metodinis konsultacijų centras. Pirminiai projektų duomenys (projektų sutartys, mokėjimo prašymai, pirminiai išlaidas pagrindžiantys duomenys) yra saugomi ES struktūrinės paramos kompiuterinės informacinės valdymo ir priežiūros sistemoje (toliau – SFMIS2014). Visa su tyrimu susijusi informacija saugoma Metodinio konsultacijų centro informacinėje sistemoje.</w:t>
            </w:r>
          </w:p>
        </w:tc>
      </w:tr>
    </w:tbl>
    <w:p w14:paraId="46CC2CA6" w14:textId="77777777" w:rsidR="009D5EC2" w:rsidRDefault="009D5EC2">
      <w:pPr>
        <w:pStyle w:val="Point0"/>
        <w:ind w:left="567" w:hanging="567"/>
        <w:jc w:val="both"/>
      </w:pPr>
      <w:r>
        <w:t>2.</w:t>
      </w:r>
      <w:r>
        <w:tab/>
        <w:t>Nurodykite, kodėl siūlomas metodas ir skaičiavimas, grindžiami 94 straipsnio 2 dalimi, tinka veiksmo rūšiai.</w:t>
      </w:r>
    </w:p>
    <w:tbl>
      <w:tblPr>
        <w:tblW w:w="9854" w:type="dxa"/>
        <w:tblInd w:w="-113" w:type="dxa"/>
        <w:tblLayout w:type="fixed"/>
        <w:tblLook w:val="04A0" w:firstRow="1" w:lastRow="0" w:firstColumn="1" w:lastColumn="0" w:noHBand="0" w:noVBand="1"/>
      </w:tblPr>
      <w:tblGrid>
        <w:gridCol w:w="9854"/>
      </w:tblGrid>
      <w:tr w:rsidR="00CE1280" w14:paraId="36C62B48" w14:textId="77777777">
        <w:tc>
          <w:tcPr>
            <w:tcW w:w="9854" w:type="dxa"/>
            <w:tcBorders>
              <w:top w:val="single" w:sz="4" w:space="0" w:color="000000"/>
              <w:left w:val="single" w:sz="4" w:space="0" w:color="000000"/>
              <w:bottom w:val="single" w:sz="4" w:space="0" w:color="000000"/>
              <w:right w:val="single" w:sz="4" w:space="0" w:color="000000"/>
            </w:tcBorders>
          </w:tcPr>
          <w:p w14:paraId="21D9ACC8" w14:textId="77777777" w:rsidR="009D5EC2" w:rsidRDefault="009D5EC2">
            <w:pPr>
              <w:spacing w:line="276" w:lineRule="auto"/>
              <w:ind w:firstLine="459"/>
              <w:jc w:val="both"/>
            </w:pPr>
            <w:r>
              <w:t xml:space="preserve">Siūlomas metodas, naudotas fiksuotųjų vieneto įkainių nustatymui, yra tinkamas, nes dydžiai nustatyti remiantis patikrintais ankstesniais projektų istoriniais duomenimis. Atlikta duomenų analizė leidžia įvertinti projektų išlaidų pagrįstumą, o gautus rezultatus pritaikyti išlaidų dedamųjų apskaičiavimui bei fiksuotųjų vieneto įkainių nustatymui. </w:t>
            </w:r>
          </w:p>
        </w:tc>
      </w:tr>
    </w:tbl>
    <w:p w14:paraId="6B772C97" w14:textId="77777777" w:rsidR="009D5EC2" w:rsidRDefault="009D5EC2">
      <w:pPr>
        <w:pStyle w:val="Point0"/>
        <w:ind w:left="567" w:hanging="567"/>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W w:w="9854" w:type="dxa"/>
        <w:tblInd w:w="-113" w:type="dxa"/>
        <w:tblLayout w:type="fixed"/>
        <w:tblLook w:val="04A0" w:firstRow="1" w:lastRow="0" w:firstColumn="1" w:lastColumn="0" w:noHBand="0" w:noVBand="1"/>
      </w:tblPr>
      <w:tblGrid>
        <w:gridCol w:w="9854"/>
      </w:tblGrid>
      <w:tr w:rsidR="00CE1280" w14:paraId="69E36777" w14:textId="77777777">
        <w:tc>
          <w:tcPr>
            <w:tcW w:w="9854" w:type="dxa"/>
            <w:tcBorders>
              <w:top w:val="single" w:sz="4" w:space="0" w:color="000000"/>
              <w:left w:val="single" w:sz="4" w:space="0" w:color="000000"/>
              <w:bottom w:val="single" w:sz="4" w:space="0" w:color="000000"/>
              <w:right w:val="single" w:sz="4" w:space="0" w:color="000000"/>
            </w:tcBorders>
          </w:tcPr>
          <w:p w14:paraId="55F688FA" w14:textId="77777777" w:rsidR="009D5EC2" w:rsidRDefault="009D5EC2">
            <w:pPr>
              <w:spacing w:line="276" w:lineRule="auto"/>
              <w:jc w:val="both"/>
              <w:rPr>
                <w:b/>
                <w:bCs/>
                <w:szCs w:val="24"/>
              </w:rPr>
            </w:pPr>
            <w:r>
              <w:rPr>
                <w:b/>
                <w:bCs/>
                <w:szCs w:val="24"/>
              </w:rPr>
              <w:t>Tyrimo etapai:</w:t>
            </w:r>
          </w:p>
          <w:p w14:paraId="6DF1BCDA" w14:textId="77777777" w:rsidR="009D5EC2" w:rsidRDefault="009D5EC2">
            <w:pPr>
              <w:pStyle w:val="Sraopastraipa"/>
              <w:numPr>
                <w:ilvl w:val="0"/>
                <w:numId w:val="8"/>
              </w:numPr>
              <w:spacing w:line="276" w:lineRule="auto"/>
              <w:rPr>
                <w:szCs w:val="24"/>
              </w:rPr>
            </w:pPr>
            <w:r>
              <w:rPr>
                <w:szCs w:val="24"/>
              </w:rPr>
              <w:t>Duomenų atranka, analizė ir skaičiavimai;</w:t>
            </w:r>
          </w:p>
          <w:p w14:paraId="6DE6F5D2" w14:textId="77777777" w:rsidR="009D5EC2" w:rsidRDefault="009D5EC2">
            <w:pPr>
              <w:pStyle w:val="Sraopastraipa"/>
              <w:numPr>
                <w:ilvl w:val="0"/>
                <w:numId w:val="8"/>
              </w:numPr>
              <w:spacing w:line="276" w:lineRule="auto"/>
              <w:rPr>
                <w:szCs w:val="24"/>
              </w:rPr>
            </w:pPr>
            <w:r>
              <w:rPr>
                <w:szCs w:val="24"/>
              </w:rPr>
              <w:t>Statistinė duomenų analizė;</w:t>
            </w:r>
          </w:p>
          <w:p w14:paraId="50717897" w14:textId="77777777" w:rsidR="009D5EC2" w:rsidRDefault="009D5EC2">
            <w:pPr>
              <w:pStyle w:val="Sraopastraipa"/>
              <w:numPr>
                <w:ilvl w:val="0"/>
                <w:numId w:val="8"/>
              </w:numPr>
              <w:spacing w:line="276" w:lineRule="auto"/>
              <w:jc w:val="both"/>
              <w:rPr>
                <w:szCs w:val="24"/>
              </w:rPr>
            </w:pPr>
            <w:r>
              <w:rPr>
                <w:szCs w:val="24"/>
              </w:rPr>
              <w:t>Fiksuotųjų vieneto įkainių nustatymas 2021–2027 m. programavimo laikotarpiui.</w:t>
            </w:r>
          </w:p>
          <w:p w14:paraId="2C2C2A13" w14:textId="77777777" w:rsidR="009D5EC2" w:rsidRDefault="009D5EC2">
            <w:pPr>
              <w:pStyle w:val="Sraopastraipa"/>
              <w:spacing w:line="276" w:lineRule="auto"/>
              <w:jc w:val="both"/>
              <w:rPr>
                <w:szCs w:val="24"/>
              </w:rPr>
            </w:pPr>
          </w:p>
          <w:p w14:paraId="3556DFFD" w14:textId="77777777" w:rsidR="009D5EC2" w:rsidRDefault="009D5EC2">
            <w:pPr>
              <w:pStyle w:val="Sraopastraipa"/>
              <w:numPr>
                <w:ilvl w:val="0"/>
                <w:numId w:val="5"/>
              </w:numPr>
              <w:spacing w:line="276" w:lineRule="auto"/>
              <w:jc w:val="center"/>
              <w:rPr>
                <w:szCs w:val="24"/>
              </w:rPr>
            </w:pPr>
            <w:r>
              <w:rPr>
                <w:b/>
                <w:bCs/>
                <w:szCs w:val="24"/>
              </w:rPr>
              <w:t>Duomenų atranka, analizė ir skaičiavimai</w:t>
            </w:r>
          </w:p>
          <w:p w14:paraId="60DBB284" w14:textId="77777777" w:rsidR="009D5EC2" w:rsidRDefault="009D5EC2">
            <w:pPr>
              <w:spacing w:line="276" w:lineRule="auto"/>
              <w:ind w:firstLine="459"/>
              <w:jc w:val="both"/>
            </w:pPr>
            <w:r>
              <w:rPr>
                <w:szCs w:val="24"/>
              </w:rPr>
              <w:t xml:space="preserve">Siekiant nustatyti projekto dalyvio dalyvavimo renginyje vienos valandos </w:t>
            </w:r>
            <w:r w:rsidRPr="003E2FF3">
              <w:rPr>
                <w:bCs/>
                <w:szCs w:val="24"/>
                <w:lang w:eastAsia="en-US"/>
              </w:rPr>
              <w:t xml:space="preserve">fiksuotąjį vieneto įkainį buvo remtasi baigtų įgyvendinti </w:t>
            </w:r>
            <w:r>
              <w:rPr>
                <w:szCs w:val="24"/>
              </w:rPr>
              <w:t xml:space="preserve">projektų istoriniais duomenimis, kurie atrinkti pagal mokėjimo prašymų </w:t>
            </w:r>
            <w:r w:rsidRPr="003E2FF3">
              <w:rPr>
                <w:bCs/>
                <w:szCs w:val="24"/>
                <w:lang w:eastAsia="en-US"/>
              </w:rPr>
              <w:t xml:space="preserve">deklaruotinumo EK datą (2021–2023 m.) </w:t>
            </w:r>
            <w:r>
              <w:rPr>
                <w:szCs w:val="24"/>
              </w:rPr>
              <w:t>(1 priedas). Į Tyrimo analizę įtraukti tie projektai, kuriuose buvo organizuojami renginiai ir kurių išlaidos projektuose buvo deklaruotos pagal fiksuotuosius vieneto įkainius, nustatytus 2014–2020 m. programavimo laikotarpiu taikytoje Renginio organizavimo fiksuotojo įkainio nustatymo tyrimo ataskaitoje</w:t>
            </w:r>
            <w:r>
              <w:rPr>
                <w:rStyle w:val="FootnoteAnchor"/>
                <w:szCs w:val="24"/>
              </w:rPr>
              <w:footnoteReference w:id="16"/>
            </w:r>
            <w:r>
              <w:rPr>
                <w:szCs w:val="24"/>
              </w:rPr>
              <w:t xml:space="preserve"> (toliau – 2014–2020 m. Renginio organizavimo FĮ ataskaita) (bei jos vėlesnėse versijose). Detalūs renginių duomenys buvo surinkti iš SFMIS2014 su mokėjimo prašymais pateiktų suvestinių pažymų dėl renginio organizavimo išlaidų fiksuotojo vieneto įkainio apskaičiavimo (toliau – suvestinė pažyma). Šių renginių išlaidos su mokėjimo prašymais buvo deklaruotos 202 projektuose, kuriuose organizuoti iš </w:t>
            </w:r>
            <w:r>
              <w:rPr>
                <w:szCs w:val="24"/>
              </w:rPr>
              <w:lastRenderedPageBreak/>
              <w:t>viso 3137 renginiai. Taip pat buvo atliktas duomenų tvarkymas ir dalis renginių buvo eliminuota. Detalus renginių sąrašas, eliminuotų renginių sąrašas bei eliminavimo priežastys pateikiamos 2 priede. Galutinę imtį sudaro 2969 duomenų eilutės, kurios buvo įtrauktos į skaičiavimus ir naudojamos fiksuotųjų vieneto įkainių nustatymui (3 priedas).</w:t>
            </w:r>
          </w:p>
          <w:p w14:paraId="675C6856" w14:textId="77777777" w:rsidR="009D5EC2" w:rsidRDefault="009D5EC2">
            <w:pPr>
              <w:spacing w:before="0" w:after="0" w:line="276" w:lineRule="auto"/>
              <w:ind w:firstLine="459"/>
              <w:jc w:val="both"/>
            </w:pPr>
            <w:r>
              <w:rPr>
                <w:szCs w:val="24"/>
              </w:rPr>
              <w:t>2014–2020 m. Renginių organizavimo FĮ ataskaitoje nustatyti fiksuotieji dydžiai apėmė šiuos komponentus:</w:t>
            </w:r>
          </w:p>
          <w:p w14:paraId="5F1BAB25" w14:textId="77777777" w:rsidR="009D5EC2" w:rsidRDefault="009D5EC2">
            <w:pPr>
              <w:pStyle w:val="Sraopastraipa"/>
              <w:numPr>
                <w:ilvl w:val="0"/>
                <w:numId w:val="3"/>
              </w:numPr>
              <w:spacing w:before="0" w:after="0" w:line="276" w:lineRule="auto"/>
              <w:jc w:val="both"/>
            </w:pPr>
            <w:r>
              <w:rPr>
                <w:szCs w:val="24"/>
              </w:rPr>
              <w:t>Moderatoriaus paslaugos vidutinę kainą;</w:t>
            </w:r>
          </w:p>
          <w:p w14:paraId="4381869A" w14:textId="77777777" w:rsidR="009D5EC2" w:rsidRDefault="009D5EC2">
            <w:pPr>
              <w:pStyle w:val="Sraopastraipa"/>
              <w:numPr>
                <w:ilvl w:val="0"/>
                <w:numId w:val="3"/>
              </w:numPr>
              <w:spacing w:before="0" w:after="0" w:line="276" w:lineRule="auto"/>
              <w:jc w:val="both"/>
              <w:rPr>
                <w:szCs w:val="24"/>
              </w:rPr>
            </w:pPr>
            <w:r>
              <w:rPr>
                <w:szCs w:val="24"/>
              </w:rPr>
              <w:t>Salės nuomos su įranga vidutinę kainą;</w:t>
            </w:r>
          </w:p>
          <w:p w14:paraId="5B15ABD1" w14:textId="77777777" w:rsidR="009D5EC2" w:rsidRDefault="009D5EC2">
            <w:pPr>
              <w:pStyle w:val="Sraopastraipa"/>
              <w:numPr>
                <w:ilvl w:val="0"/>
                <w:numId w:val="3"/>
              </w:numPr>
              <w:spacing w:before="0" w:after="0" w:line="276" w:lineRule="auto"/>
              <w:jc w:val="both"/>
              <w:rPr>
                <w:szCs w:val="24"/>
              </w:rPr>
            </w:pPr>
            <w:r>
              <w:rPr>
                <w:szCs w:val="24"/>
              </w:rPr>
              <w:t>Kavos pertraukėlės(-ių) vidutinę kainą;</w:t>
            </w:r>
          </w:p>
          <w:p w14:paraId="696D6403" w14:textId="77777777" w:rsidR="009D5EC2" w:rsidRDefault="009D5EC2">
            <w:pPr>
              <w:pStyle w:val="Sraopastraipa"/>
              <w:numPr>
                <w:ilvl w:val="0"/>
                <w:numId w:val="3"/>
              </w:numPr>
              <w:spacing w:before="0" w:after="0" w:line="276" w:lineRule="auto"/>
              <w:jc w:val="both"/>
              <w:rPr>
                <w:szCs w:val="24"/>
              </w:rPr>
            </w:pPr>
            <w:r>
              <w:rPr>
                <w:szCs w:val="24"/>
              </w:rPr>
              <w:t xml:space="preserve">Pietų vidutinę kainą. </w:t>
            </w:r>
          </w:p>
          <w:p w14:paraId="24A2C74B" w14:textId="77777777" w:rsidR="009D5EC2" w:rsidRDefault="009D5EC2">
            <w:pPr>
              <w:spacing w:line="276" w:lineRule="auto"/>
              <w:ind w:firstLine="459"/>
              <w:jc w:val="both"/>
            </w:pPr>
            <w:r>
              <w:rPr>
                <w:szCs w:val="24"/>
              </w:rPr>
              <w:t xml:space="preserve">Taigi, remiantis 2014–2020 m. Renginių organizavimo FĮ ataskaitoje nustatytais fiksuotaisiais dydžiais, renginio išlaidų suma buvo apskaičiuojama pagal formulę, į kurią buvo įtraukiami atitinkami išlaidų komponentai. Visų komponentų patyrimas organizuojant renginius buvo pasirenkamas pagal poreikį. </w:t>
            </w:r>
          </w:p>
          <w:p w14:paraId="13C459EC" w14:textId="77777777" w:rsidR="009D5EC2" w:rsidRDefault="009D5EC2">
            <w:pPr>
              <w:spacing w:line="276" w:lineRule="auto"/>
              <w:ind w:firstLine="459"/>
              <w:jc w:val="both"/>
              <w:rPr>
                <w:szCs w:val="24"/>
              </w:rPr>
            </w:pPr>
            <w:r>
              <w:rPr>
                <w:szCs w:val="24"/>
              </w:rPr>
              <w:t>Vadovaujančioji institucija Lietuvos Respublikos finansų ministerija (toliau – VI), atsižvelgdama į EK audito pateiktą pastebėjimą</w:t>
            </w:r>
            <w:r>
              <w:rPr>
                <w:rStyle w:val="FootnoteAnchor"/>
                <w:szCs w:val="24"/>
              </w:rPr>
              <w:footnoteReference w:id="17"/>
            </w:r>
            <w:r>
              <w:rPr>
                <w:szCs w:val="24"/>
              </w:rPr>
              <w:t xml:space="preserve"> ir siekdama užtikrinti, kad EK būtų deklaruotos tik tinkamos finansuoti išlaidos, 2021 m. inicijavo renginių organizavimo fiksuotojo dydžio taikymo patikrinimus, kuriuos auditavo Lietuvos Respublikos valstybės kontrolė, ir kurių metu nustatyta, kad dalis išlaidų turėjo dvigubo finansavimo ir fiksuotųjų įkainių rezultatų nepagrįstų dokumentais riziką, t. y. buvo deklaruotos netinkamos finansuoti išlaidos</w:t>
            </w:r>
            <w:r>
              <w:rPr>
                <w:rStyle w:val="FootnoteAnchor"/>
                <w:szCs w:val="24"/>
              </w:rPr>
              <w:footnoteReference w:id="18"/>
            </w:r>
            <w:r>
              <w:rPr>
                <w:szCs w:val="24"/>
              </w:rPr>
              <w:t>. VI nusprendė</w:t>
            </w:r>
            <w:r>
              <w:rPr>
                <w:rStyle w:val="FootnoteAnchor"/>
                <w:szCs w:val="24"/>
              </w:rPr>
              <w:footnoteReference w:id="19"/>
            </w:r>
            <w:r>
              <w:rPr>
                <w:szCs w:val="24"/>
              </w:rPr>
              <w:t xml:space="preserve">, kad renginių organizavimo išlaidos turi būti perskaičiuotos ir turi būti priimti sprendimai dėl nustatytų nedeklaruotinų EK išlaidų susigrąžinimo, atsižvelgiant į renginių organizavimo fiksuotojo dydžio taikymo patikrinimų metu nustatytą klaidos lygį (11,19 proc.). </w:t>
            </w:r>
          </w:p>
          <w:p w14:paraId="6EBA65C2" w14:textId="77777777" w:rsidR="009D5EC2" w:rsidRDefault="009D5EC2">
            <w:pPr>
              <w:spacing w:line="276" w:lineRule="auto"/>
              <w:ind w:firstLine="459"/>
              <w:jc w:val="both"/>
              <w:rPr>
                <w:szCs w:val="24"/>
              </w:rPr>
            </w:pPr>
            <w:r>
              <w:rPr>
                <w:szCs w:val="24"/>
              </w:rPr>
              <w:t>Po šio VI sprendimo buvo atnaujinta 2014–2020 m. Renginių organizavimo FĮ ataskaita. Ji papildyta nauja nuostata, kad išlaidos turi būti faktiškai patirtos ir projekto vykdytojai kartu su mokėjimo prašymais ir rekomenduojama suvestine pažyma kaskart</w:t>
            </w:r>
            <w:r>
              <w:rPr>
                <w:rStyle w:val="Komentaronuoroda"/>
                <w:sz w:val="24"/>
                <w:szCs w:val="24"/>
              </w:rPr>
              <w:t xml:space="preserve"> </w:t>
            </w:r>
            <w:r>
              <w:rPr>
                <w:szCs w:val="24"/>
              </w:rPr>
              <w:t xml:space="preserve">privalo pateikti ne tik fiksuotojo vieneto įkainio rezultato pasiekimą pagrindžiančius dokumentus (renginio programą ir dalyvių sąrašus su parašais), bet ir kitų komponentų patyrimo faktą įrodančius dokumentus: prekių ir (ar) paslaugų įsigijimo atveju – sąskaitą-faktūrą ir (ar) prekių ir (ar) paslaugų perdavimo-priėmimo aktą, arba kitus lygiaverčius dokumentus, iš kurių informacijos būtų aišku, kokios prekės ir (ar) paslaugos yra įsigyjamos. Pagal įgyvendinančiosios institucijos vidinę išlaidų tikrinimo atrankinę tvarką su mokėjimo prašymu teikiama suvestinė pažyma, o į įgyvendinančiosios institucijos tikrinimo atranką patekusios mokėjimo prašymo išlaidų eilutės grindžiamos pridedant aukščiau minėtus pirminius dokumentus. Tad siekiant užtikrinti, kad po 2021 m. balandžio 11 d. įgyvendintų renginių išlaidos </w:t>
            </w:r>
            <w:r>
              <w:rPr>
                <w:szCs w:val="24"/>
              </w:rPr>
              <w:lastRenderedPageBreak/>
              <w:t>būtų pripažintos tinkamomis finansuoti, Projekto vykdytojai privalėjo pagrįsti atskirų komponentų faktinį patyrimą, teikiant atskirų komponentų patyrimą įrodančius pirminius dokumentus. Atsižvelgiant į nustatytą klaidos lygį (11,19 proc.) Tyrime buvo perskaičiuotos renginių, susijusių su nustatytu neatitikimu, organizavimo išlaidos (3 priedas).</w:t>
            </w:r>
          </w:p>
          <w:p w14:paraId="7FDEB810" w14:textId="77777777" w:rsidR="009D5EC2" w:rsidRDefault="009D5EC2">
            <w:pPr>
              <w:spacing w:line="276" w:lineRule="auto"/>
              <w:ind w:firstLine="459"/>
              <w:jc w:val="both"/>
            </w:pPr>
            <w:r>
              <w:rPr>
                <w:szCs w:val="24"/>
              </w:rPr>
              <w:t>Toliau Tyrime remiantis projektų sutarčių, kuriose nurodomas PVM tinkamumo finansuoti kriterijus, informacija, kiekvienai duomenų eilutei buvo priskirtas požymis pagal tai, ar PVM yra tinkamas finansuoti ar ne, ir, ar 2014-2020 m. Renginio organizavimo FĮ ataskaitoje nustatyti įkainiai taikyti su PVM ar be PVM, atitinkamai tyrime apskaičiuotos renginiui tenkančios išlaidos su PVM ir be PVM. Detali informacija ir skaičiavimai pateikiami 3 priede.</w:t>
            </w:r>
          </w:p>
          <w:p w14:paraId="1E482FEE" w14:textId="77777777" w:rsidR="009D5EC2" w:rsidRDefault="009D5EC2">
            <w:pPr>
              <w:spacing w:line="276" w:lineRule="auto"/>
              <w:ind w:firstLine="459"/>
              <w:jc w:val="both"/>
            </w:pPr>
            <w:r>
              <w:rPr>
                <w:szCs w:val="24"/>
              </w:rPr>
              <w:t>Iš analizuotų istorinių duomenų matyti, kad renginiai buvo vykdomi skirtingai – vienuose buvo prašoma apmokėti išlaidas ne už dvi, bet už vieną kavos pertrauką; kiti projektai nepatyrė salės su įranga nuomos išlaidų arba neteikė maitinimo paslaugos, arba pats renginys buvo vykdomas nuotoliu, todėl deklaruotos tik moderatoriaus paslaugos išlaidos. Taip pat buvo atvejų, kuomet renginio metu buvo patiriamos kitos išlaidos (pavyzdžiui, apgyvendinimo, kelionių, leidybos paslaugų, lektoriaus paslaugų ir pan.), kurios neįtrauktos į Renginių organizavimo FĮ ir jos buvo deklaruojamos atskirai taikant kitus fiksuotuosius dydžius (Kuro ir viešojo transporto išlaidų fiksuotojo įkainio nustatymo tyrimo ataskaita</w:t>
            </w:r>
            <w:r>
              <w:rPr>
                <w:rStyle w:val="FootnoteAnchor"/>
                <w:szCs w:val="24"/>
              </w:rPr>
              <w:footnoteReference w:id="20"/>
            </w:r>
            <w:r>
              <w:rPr>
                <w:szCs w:val="24"/>
              </w:rPr>
              <w:t>, Apgyvendinimo Lietuvoje išlaidų fiksuotųjų įkainių nustatymo tyrimo ataskaita</w:t>
            </w:r>
            <w:r>
              <w:rPr>
                <w:rStyle w:val="FootnoteAnchor"/>
                <w:szCs w:val="24"/>
              </w:rPr>
              <w:footnoteReference w:id="21"/>
            </w:r>
            <w:r>
              <w:rPr>
                <w:szCs w:val="24"/>
              </w:rPr>
              <w:t xml:space="preserve"> </w:t>
            </w:r>
            <w:r>
              <w:rPr>
                <w:szCs w:val="24"/>
              </w:rPr>
              <w:lastRenderedPageBreak/>
              <w:t>ir Kasmetinių atostogų ir papildomų poilsio dienų išmokų fiksuotųjų normų nustatymo tyrimo ataskaita</w:t>
            </w:r>
            <w:r>
              <w:rPr>
                <w:rStyle w:val="FootnoteAnchor"/>
                <w:szCs w:val="24"/>
              </w:rPr>
              <w:footnoteReference w:id="22"/>
            </w:r>
            <w:r>
              <w:rPr>
                <w:szCs w:val="24"/>
              </w:rPr>
              <w:t xml:space="preserve">) arba teikiant išlaidas pagrindžiančius dokumentus. Atsižvelgiant į tai, kad tokios išlaidos buvo taip pat susijusios su renginių organizavimu ir administruojančiosios institucijos buvo patikrintos bei pripažintos tinkamomis finansuoti, jos taip pat Tyrime papildomai įtrauktos nustatant fiksuotuosius vieneto įkainius. Taip pat, renkant duomenis apie kitas išlaidas, kurios neįtrauktos į Renginių organizavimo FĮ, atitinkamai buvo surinkta informacija apie išlaidas su PVM, ir išlaidas be PVM. Tuo atveju, kai išlaidos PVM neapmokestinamos, tiek išlaidos su PVM, tiek ir išlaidos be PVM nurodytos tokios pačios. </w:t>
            </w:r>
          </w:p>
          <w:p w14:paraId="52638983" w14:textId="77777777" w:rsidR="009D5EC2" w:rsidRDefault="009D5EC2">
            <w:pPr>
              <w:spacing w:line="276" w:lineRule="auto"/>
              <w:ind w:firstLine="459"/>
              <w:jc w:val="both"/>
              <w:rPr>
                <w:szCs w:val="24"/>
              </w:rPr>
            </w:pPr>
            <w:r>
              <w:rPr>
                <w:szCs w:val="24"/>
              </w:rPr>
              <w:t xml:space="preserve">Taip pat buvo patikrinta informacija apie grąžinimus ir atitinkamai jie įvertinti skaičiuojant renginio organizavimo išlaidas. Projekte Nr. 08.4.2-ESFA-K-629-03-0007 atliktas grąžinimas nebuvo įvertintas Tyrime ir atitinkamai nebuvo perskaičiuotos renginio organizavimo išlaidos, kadangi buvo susigrąžintos tik netinkamos finansuoti PVM išlaidos atsižvelgiant į tai, kad išlaidas patyręs juridinis asmuo yra PVM mokėtojas ir PVM jam yra netinkamas finansuoti. Kadangi tyrime nustatomi fiksuotieji vieneto įkainiai tiek be PVM, tiek ir su PVM, tad susigrąžintas PVM buvo įskaičiuotas nustatant renginio išlaidų sumą su PVM. Grąžinimai nustatyti ir įvertinti tik tose išlaidose, kurios buvo deklaruotos pagal Renginio organizavimo FĮ ataskaitą, o išlaidose, deklaruotose pagal kitus fiksuotuosius vieneto įkainius ar realų jų patyrimą grąžinimų nenustatyta. Detali informacija apie grąžinimus pateikta 3 priede. </w:t>
            </w:r>
          </w:p>
          <w:p w14:paraId="4F9F4E71" w14:textId="77777777" w:rsidR="009D5EC2" w:rsidRDefault="009D5EC2">
            <w:pPr>
              <w:spacing w:before="0" w:after="0" w:line="276" w:lineRule="auto"/>
              <w:ind w:firstLine="601"/>
              <w:jc w:val="both"/>
              <w:rPr>
                <w:szCs w:val="24"/>
              </w:rPr>
            </w:pPr>
            <w:r>
              <w:rPr>
                <w:szCs w:val="24"/>
              </w:rPr>
              <w:t>Kadangi buvo analizuojamos 2021–2023 m. deklaruotinos EK išlaidos, tinkamos finansuoti išlaidos buvo indeksuotos atsižvelgiant į renginio datą. Faktinė renginio data buvo nustatyta remiantis suvestinių pažymų arba kitų pridėtų dokumentų, pvz., renginio programos, informacija. Atsižvelgiant į tai, kad projektų išlaidų administravimo metu tikrinant mokėjimo prašymus buvo taikomas atrankinis išlaidų tikrinimas pagal įstaigos nustatytą tvarką, projekto vykdytojams nebuvo privaloma teikti išlaidas bei rezultatą pagrindžiančius dokumentus, todėl ne visais atvejais buvo pridedami kiti dokumentai. Todėl ne visais atvejais buvo įmanoma nustatyti tikslią renginio datą. Tokiais atvejais renginio data (metai ir mėnesiai) buvo nustatoma remiantis suvestinėse pažymose pateiktu ataskaitiniu laikotarpiu, už kurį išlaidos yra deklaruojamos. Toliau tyrime 2018–2023 m. įvykusių renginių tinkamos finansuoti pripažintos renginių išlaidos buvo atitinkamai perskaičiuotos jas indeksuojant, kad būtų nustatyti fiksuotieji dydžiai, kurie atitiktų 2024 m. kainų lygmenį. Taigi, renginių ir kitų su renginiais susijusių išlaidų duomenys buvo indeksuoti 2024 m. kainų lygmeniu, remiantis Valstybės duomenų agentūros pateikta (vieša) informacija apie VKI (2015 m.–100) pagal COICOP klasifikatorių – 00 kategorija „</w:t>
            </w:r>
            <w:r>
              <w:rPr>
                <w:i/>
                <w:iCs/>
                <w:szCs w:val="24"/>
              </w:rPr>
              <w:t>Vartojimo prekės ir paslaugos</w:t>
            </w:r>
            <w:r>
              <w:rPr>
                <w:szCs w:val="24"/>
              </w:rPr>
              <w:t>“</w:t>
            </w:r>
            <w:r>
              <w:rPr>
                <w:rStyle w:val="FootnoteAnchor"/>
                <w:szCs w:val="24"/>
              </w:rPr>
              <w:footnoteReference w:id="23"/>
            </w:r>
            <w:r>
              <w:rPr>
                <w:szCs w:val="24"/>
              </w:rPr>
              <w:t xml:space="preserve"> (detalūs skaičiavimai pateikti 3–4 prieduose). </w:t>
            </w:r>
          </w:p>
          <w:p w14:paraId="2D911573" w14:textId="77777777" w:rsidR="009D5EC2" w:rsidRDefault="009D5EC2">
            <w:pPr>
              <w:spacing w:before="0" w:after="0" w:line="276" w:lineRule="auto"/>
              <w:ind w:firstLine="601"/>
              <w:jc w:val="both"/>
              <w:rPr>
                <w:szCs w:val="24"/>
              </w:rPr>
            </w:pPr>
          </w:p>
          <w:p w14:paraId="31F0B2CC" w14:textId="77777777" w:rsidR="009D5EC2" w:rsidRDefault="009D5EC2">
            <w:pPr>
              <w:pStyle w:val="Sraopastraipa"/>
              <w:numPr>
                <w:ilvl w:val="0"/>
                <w:numId w:val="5"/>
              </w:numPr>
              <w:spacing w:line="276" w:lineRule="auto"/>
              <w:jc w:val="center"/>
              <w:rPr>
                <w:b/>
                <w:bCs/>
                <w:szCs w:val="24"/>
              </w:rPr>
            </w:pPr>
            <w:r>
              <w:rPr>
                <w:b/>
                <w:bCs/>
                <w:szCs w:val="24"/>
              </w:rPr>
              <w:t>Statistinė duomenų analizė</w:t>
            </w:r>
          </w:p>
          <w:p w14:paraId="7A0803AA" w14:textId="77777777" w:rsidR="009D5EC2" w:rsidRDefault="009D5EC2">
            <w:pPr>
              <w:spacing w:after="0" w:line="276" w:lineRule="auto"/>
              <w:ind w:firstLine="601"/>
              <w:jc w:val="both"/>
              <w:rPr>
                <w:szCs w:val="24"/>
              </w:rPr>
            </w:pPr>
            <w:r>
              <w:rPr>
                <w:szCs w:val="24"/>
              </w:rPr>
              <w:t>Tyrimo metu buvo išanalizuoti surinkti duomenys bei patikrintos išsikeltos hipotezės:</w:t>
            </w:r>
          </w:p>
          <w:p w14:paraId="20817C82" w14:textId="77777777" w:rsidR="009D5EC2" w:rsidRDefault="009D5EC2">
            <w:pPr>
              <w:pStyle w:val="Sraopastraipa"/>
              <w:numPr>
                <w:ilvl w:val="0"/>
                <w:numId w:val="4"/>
              </w:numPr>
              <w:spacing w:after="0" w:line="276" w:lineRule="auto"/>
              <w:jc w:val="both"/>
            </w:pPr>
            <w:r>
              <w:rPr>
                <w:szCs w:val="24"/>
              </w:rPr>
              <w:lastRenderedPageBreak/>
              <w:t>Renginiui tenkančių išlaidų suma, indeksuota 2024 m. kainų lygmeniu (Eur su PVM) priklauso nuo dalyvių skaičiaus;</w:t>
            </w:r>
          </w:p>
          <w:p w14:paraId="2292427F" w14:textId="77777777" w:rsidR="009D5EC2" w:rsidRDefault="009D5EC2">
            <w:pPr>
              <w:pStyle w:val="Sraopastraipa"/>
              <w:numPr>
                <w:ilvl w:val="0"/>
                <w:numId w:val="4"/>
              </w:numPr>
              <w:spacing w:after="0" w:line="276" w:lineRule="auto"/>
              <w:jc w:val="both"/>
              <w:rPr>
                <w:szCs w:val="24"/>
              </w:rPr>
            </w:pPr>
            <w:r>
              <w:rPr>
                <w:szCs w:val="24"/>
              </w:rPr>
              <w:t>Renginiui tenkančių išlaidų suma, indeksuota 2024 m. kainų lygmeniu (Eur su PVM) priklauso nuo renginio trukmės;</w:t>
            </w:r>
          </w:p>
          <w:p w14:paraId="600DCF9C" w14:textId="77777777" w:rsidR="009D5EC2" w:rsidRDefault="009D5EC2">
            <w:pPr>
              <w:pStyle w:val="Sraopastraipa"/>
              <w:numPr>
                <w:ilvl w:val="0"/>
                <w:numId w:val="4"/>
              </w:numPr>
              <w:spacing w:after="0" w:line="276" w:lineRule="auto"/>
              <w:jc w:val="both"/>
              <w:rPr>
                <w:szCs w:val="24"/>
              </w:rPr>
            </w:pPr>
            <w:r>
              <w:rPr>
                <w:szCs w:val="24"/>
              </w:rPr>
              <w:t>Renginiui tenkančių išlaidų suma, indeksuota 2024 m. kainų lygmeniu (Eur su PVM) priklauso nuo renginio formos (kontaktinis, nuotolinis ar hibridinis renginys);</w:t>
            </w:r>
          </w:p>
          <w:p w14:paraId="0CE28CD6" w14:textId="77777777" w:rsidR="009D5EC2" w:rsidRDefault="009D5EC2">
            <w:pPr>
              <w:pStyle w:val="Sraopastraipa"/>
              <w:numPr>
                <w:ilvl w:val="0"/>
                <w:numId w:val="4"/>
              </w:numPr>
              <w:spacing w:after="0" w:line="276" w:lineRule="auto"/>
              <w:jc w:val="both"/>
              <w:rPr>
                <w:szCs w:val="24"/>
              </w:rPr>
            </w:pPr>
            <w:r>
              <w:rPr>
                <w:szCs w:val="24"/>
              </w:rPr>
              <w:t>Renginiui tenkančių išlaidų suma, indeksuota 2024 m. kainų lygmeniu (Eur su PVM) priklauso nuo renginio kalbos (renginio kalba lietuvių ir renginio kalba anglų).</w:t>
            </w:r>
          </w:p>
          <w:p w14:paraId="6A419634" w14:textId="77777777" w:rsidR="009D5EC2" w:rsidRDefault="009D5EC2">
            <w:pPr>
              <w:spacing w:after="0" w:line="276" w:lineRule="auto"/>
              <w:ind w:left="601"/>
              <w:jc w:val="both"/>
            </w:pPr>
            <w:r>
              <w:rPr>
                <w:szCs w:val="24"/>
              </w:rPr>
              <w:t>IBM SPSS Modeler programos pagalba buvo patikrintos tyrime iškeltos hipotezės:</w:t>
            </w:r>
          </w:p>
          <w:p w14:paraId="712C2606" w14:textId="77777777" w:rsidR="009D5EC2" w:rsidRDefault="009D5EC2">
            <w:pPr>
              <w:pStyle w:val="Sraopastraipa"/>
              <w:numPr>
                <w:ilvl w:val="0"/>
                <w:numId w:val="4"/>
              </w:numPr>
              <w:spacing w:after="0" w:line="276" w:lineRule="auto"/>
              <w:jc w:val="both"/>
            </w:pPr>
            <w:r>
              <w:rPr>
                <w:szCs w:val="24"/>
              </w:rPr>
              <w:t>ar renginiui tenkančių išlaidų suma, indeksuota 2024 m. kainų lygmeniu (Eur su PVM) priklauso nuo dalyvių skaičiaus. Atlikta koreliacinė duomenų analizė parodė, kad egzistuoja teigiamas vidutinis ryšys (koreliacijos koeficientas yra – 0,528 ) tarp renginiui tenkančių išlaidų ir dalyvių skaičiaus (7 priedas);</w:t>
            </w:r>
          </w:p>
          <w:p w14:paraId="45BBABEA" w14:textId="77777777" w:rsidR="009D5EC2" w:rsidRDefault="009D5EC2">
            <w:pPr>
              <w:pStyle w:val="Sraopastraipa"/>
              <w:numPr>
                <w:ilvl w:val="0"/>
                <w:numId w:val="4"/>
              </w:numPr>
              <w:spacing w:after="0" w:line="276" w:lineRule="auto"/>
              <w:jc w:val="both"/>
              <w:rPr>
                <w:szCs w:val="24"/>
              </w:rPr>
            </w:pPr>
            <w:r>
              <w:rPr>
                <w:szCs w:val="24"/>
              </w:rPr>
              <w:t xml:space="preserve">ar renginiui tenkančių išlaidų suma, indeksuota 2024 m. kainų lygmeniu (Eur su PVM) priklauso nuo renginio trukmės. Atlikta koreliacinė analizė parodė, kad egzistuoja teigiamas silpnas ryšys (koreliacijos koeficientas – 0,297) tarp renginiui tenkančių išlaidų ir renginio trukmės (7 priedas). </w:t>
            </w:r>
          </w:p>
          <w:p w14:paraId="4BBF1409" w14:textId="77777777" w:rsidR="009D5EC2" w:rsidRDefault="009D5EC2">
            <w:pPr>
              <w:pStyle w:val="Sraopastraipa"/>
              <w:numPr>
                <w:ilvl w:val="0"/>
                <w:numId w:val="4"/>
              </w:numPr>
              <w:spacing w:after="0" w:line="276" w:lineRule="auto"/>
              <w:jc w:val="both"/>
            </w:pPr>
            <w:r>
              <w:rPr>
                <w:szCs w:val="24"/>
              </w:rPr>
              <w:t>ar renginiui tenkančių išlaidų suma, indeksuota 2024 m. kainų lygmeniu (Eur su PVM) priklauso nuo renginio formos. Atlikta koreliacinė duomenų analizė parodė, kad egzistuoja silpnas teigiamas ryšys (koreliacijos koeficientas – 0,044) tarp renginiui tenkančių išlaidų ir renginio formos (7 priedas);</w:t>
            </w:r>
          </w:p>
          <w:p w14:paraId="7C7089EA" w14:textId="77777777" w:rsidR="009D5EC2" w:rsidRDefault="009D5EC2">
            <w:pPr>
              <w:pStyle w:val="Sraopastraipa"/>
              <w:numPr>
                <w:ilvl w:val="0"/>
                <w:numId w:val="4"/>
              </w:numPr>
              <w:spacing w:after="0" w:line="276" w:lineRule="auto"/>
              <w:jc w:val="both"/>
            </w:pPr>
            <w:r>
              <w:rPr>
                <w:szCs w:val="24"/>
              </w:rPr>
              <w:t xml:space="preserve">ar renginiui tenkančių išlaidų suma, indeksuota 2024 m. kainų lygmeniu (Eur su PVM) priklauso nuo renginio kalbos. Atlikta koreliacinė duomenų analizė parodė, kad egzistuoja teigiamas labai silpnas ryšys (koreliacijos koeficientas – 0,146) tarp renginiui tenkančių išlaidų ir renginio kalbos (7 priedas). </w:t>
            </w:r>
          </w:p>
          <w:p w14:paraId="0467BE63" w14:textId="77777777" w:rsidR="009D5EC2" w:rsidRDefault="009D5EC2">
            <w:pPr>
              <w:spacing w:after="0" w:line="276" w:lineRule="auto"/>
              <w:ind w:firstLine="459"/>
              <w:jc w:val="both"/>
              <w:rPr>
                <w:szCs w:val="24"/>
              </w:rPr>
            </w:pPr>
            <w:r>
              <w:rPr>
                <w:szCs w:val="24"/>
              </w:rPr>
              <w:t xml:space="preserve">Remiantis atliktos koreliacinės analizės rezultatais matyti, kad nustatytas ryšys tik tarp renginiui tenkančių išlaidų sumos, indeksuotos 2024 m. kainų lygmeniu (Eur su PVM), ir renginio dalyvių skaičiaus. Todėl toliau tyrime fiksuotieji vieneto įkainiai nustatomi ir apskaičiuojami vienam renginio dalyviui. </w:t>
            </w:r>
          </w:p>
          <w:p w14:paraId="1AFF907E" w14:textId="77777777" w:rsidR="009D5EC2" w:rsidRDefault="009D5EC2">
            <w:pPr>
              <w:spacing w:after="0" w:line="276" w:lineRule="auto"/>
              <w:ind w:firstLine="459"/>
              <w:jc w:val="both"/>
            </w:pPr>
            <w:r>
              <w:rPr>
                <w:szCs w:val="24"/>
              </w:rPr>
              <w:t>Koreliacinės duomenų analizės metu nenustatyti stiprūs / vidutiniai ryšiai tarp renginiui tenkančių išlaidų ir renginio trukmės, renginio formos ir renginio kalbos, tačiau atsižvelgiant į tai, kad lietuvių ir anglų kalbomis vykdomi renginiai gali turėti skirtingas išlaidų kategorijas (pavyzdžiui anglų kalba vedamas renginys gali papildomai turėti sinchroninio vertimo paslaugų ir įrangos išlaidas, ar moderatoriaus/lektoriaus paslaugų kaina gali būti didesnė lyginant su lietuvių kalba vedamo renginio) ir skirtis renginiui tenkančios išlaidos,  nuspręsta papildomai patikrinti, ar:</w:t>
            </w:r>
          </w:p>
          <w:p w14:paraId="5956F1E9" w14:textId="77777777" w:rsidR="009D5EC2" w:rsidRDefault="009D5EC2">
            <w:pPr>
              <w:pStyle w:val="Sraopastraipa"/>
              <w:numPr>
                <w:ilvl w:val="0"/>
                <w:numId w:val="4"/>
              </w:numPr>
              <w:spacing w:after="0" w:line="276" w:lineRule="auto"/>
              <w:jc w:val="both"/>
              <w:rPr>
                <w:szCs w:val="24"/>
              </w:rPr>
            </w:pPr>
            <w:r>
              <w:rPr>
                <w:szCs w:val="24"/>
              </w:rPr>
              <w:t>renginiui tenkančių išlaidų suma, indeksuota 2024 m. kainų lygmeniu (Eur su PVM) bei išskaidyta pagal renginio kalbą (lietuvių arba anglų) priklauso nuo renginio trukmės;</w:t>
            </w:r>
          </w:p>
          <w:p w14:paraId="778B6410" w14:textId="77777777" w:rsidR="009D5EC2" w:rsidRDefault="009D5EC2">
            <w:pPr>
              <w:pStyle w:val="Sraopastraipa"/>
              <w:numPr>
                <w:ilvl w:val="0"/>
                <w:numId w:val="4"/>
              </w:numPr>
              <w:spacing w:after="0" w:line="276" w:lineRule="auto"/>
              <w:jc w:val="both"/>
              <w:rPr>
                <w:szCs w:val="24"/>
              </w:rPr>
            </w:pPr>
            <w:r>
              <w:rPr>
                <w:szCs w:val="24"/>
              </w:rPr>
              <w:t xml:space="preserve">renginiui tenkančių išlaidų suma, indeksuota 2024 m. kainų lygmeniu (Eur su PVM) bei išskaidyta pagal renginio kalbą (lietuvių arba anglų) priklauso nuo renginio formos. </w:t>
            </w:r>
          </w:p>
          <w:p w14:paraId="398AB3A6" w14:textId="77777777" w:rsidR="009D5EC2" w:rsidRDefault="009D5EC2">
            <w:pPr>
              <w:spacing w:after="0" w:line="276" w:lineRule="auto"/>
              <w:ind w:firstLine="459"/>
              <w:jc w:val="both"/>
            </w:pPr>
            <w:r>
              <w:rPr>
                <w:szCs w:val="24"/>
              </w:rPr>
              <w:t>IBM SPSS Modeler programos pagalba buvo patikrintos papildomos tyrime iškeltos hipotezės:</w:t>
            </w:r>
          </w:p>
          <w:p w14:paraId="191AA845" w14:textId="77777777" w:rsidR="009D5EC2" w:rsidRDefault="009D5EC2">
            <w:pPr>
              <w:pStyle w:val="Sraopastraipa"/>
              <w:numPr>
                <w:ilvl w:val="0"/>
                <w:numId w:val="4"/>
              </w:numPr>
              <w:spacing w:after="0" w:line="276" w:lineRule="auto"/>
              <w:jc w:val="both"/>
              <w:rPr>
                <w:szCs w:val="24"/>
              </w:rPr>
            </w:pPr>
            <w:r>
              <w:rPr>
                <w:szCs w:val="24"/>
              </w:rPr>
              <w:lastRenderedPageBreak/>
              <w:t>ar renginiui tenkančių išlaidų suma, indeksuota 2024 m. kainų lygmeniu (Eur su PVM) bei išskaidyta pagal renginio kalbą (lietuvių arba anglų) priklauso nuo renginio trukmės. Atlikta koreliacinė duomenų analizė parodė, kad kai renginys vykdomas lietuvių kalba, egzistuoja teigiamas vidutinis ryšys (koreliacijos koeficientas – 0,330), o kai renginys vykdomas anglų kalba, egzistuoja teigiamas silpnas ryšys (koreliacijos koeficientas – 0,205) tarp renginiui tenkančių išlaidų ir renginio kalbos (7 priedas);</w:t>
            </w:r>
          </w:p>
          <w:p w14:paraId="2EB6250D" w14:textId="77777777" w:rsidR="009D5EC2" w:rsidRDefault="009D5EC2">
            <w:pPr>
              <w:pStyle w:val="Sraopastraipa"/>
              <w:numPr>
                <w:ilvl w:val="0"/>
                <w:numId w:val="4"/>
              </w:numPr>
              <w:spacing w:after="0" w:line="276" w:lineRule="auto"/>
              <w:jc w:val="both"/>
            </w:pPr>
            <w:r>
              <w:rPr>
                <w:szCs w:val="24"/>
              </w:rPr>
              <w:t xml:space="preserve">ar renginiui tenkančių išlaidų suma, indeksuota 2024 m. kainų lygmeniu (Eur su PVM) bei išskaidyta pagal renginio kalbą (lietuvių arba anglų) priklauso nuo renginio formos. Atlikta koreliacinė duomenų analizė parodė, kad egzistuoja labai silpnas ryšys (kai renginys vykdomas lietuvių kalba koreliacijos koeficientas – 0,024), ir kai renginys vykdomas anglų kalba, egzistuoja neigiamas silpnas ryšys (koreliacijos koeficientas –  -0,021) tarp renginiui tenkančių išlaidų ir renginio formos (7 priedas). </w:t>
            </w:r>
          </w:p>
          <w:p w14:paraId="1CB8303A" w14:textId="77777777" w:rsidR="009D5EC2" w:rsidRDefault="009D5EC2">
            <w:pPr>
              <w:spacing w:after="0" w:line="276" w:lineRule="auto"/>
              <w:ind w:firstLine="459"/>
              <w:jc w:val="both"/>
            </w:pPr>
            <w:r>
              <w:rPr>
                <w:szCs w:val="24"/>
              </w:rPr>
              <w:t xml:space="preserve">Remiantis atliktos papildomos koreliacinės analizės duomenimis matyti, kad kai renginiai išskaidomi pagal tai, kokia kalba jie buvo vykdomi, atsiranda vidutinio stiprumo ryšys tarp renginiui tenkančių išlaidų ir renginio trukmės (kai renginys vykdomas lietuvių kalba), tačiau ryšio tarp renginiui tenkančių išlaidų ir renginio formos nėra. Tad toliau tyrime nuspręsta fiksuotuosius vieneto įkainius nustatyti atskirai renginiui, kai jis vykdomas lietuvių kalba, ir atskirai renginiui, kuris vykdomas užsienio kalba, bei siekiant paprastesnio fiksuotųjų vieneto įkainių taikymo bei atsižvelgiant į nustatytą ryšį tarp renginiui tenkančių išlaidų ir renginio trukmės – nustatyti fiksuotuosius vieneto įkainius už vieną renginio valandą. </w:t>
            </w:r>
          </w:p>
          <w:p w14:paraId="611EE601" w14:textId="77777777" w:rsidR="009D5EC2" w:rsidRDefault="009D5EC2">
            <w:pPr>
              <w:spacing w:after="0" w:line="276" w:lineRule="auto"/>
              <w:ind w:firstLine="459"/>
              <w:jc w:val="both"/>
              <w:rPr>
                <w:szCs w:val="24"/>
              </w:rPr>
            </w:pPr>
            <w:r>
              <w:rPr>
                <w:szCs w:val="24"/>
              </w:rPr>
              <w:t xml:space="preserve">Taigi, remiantis statistinės analizės rezultatais toliau tyrime buvo nustatyti ir apskaičiuoti fiksuotieji vieneto įkainiai vienam projekto dalyviui už vieną renginio valandą renginiui, vykdomam lietuvių kalba, ir vienam renginio dalyviui už vieną renginio valandą renginiui, vykdomam užsienio kalba. Nors duomenyse yra tik renginių, kurie buvo vykdomi anglų kalba ir nėra renginių, kurie būtų vykdyti kitomis užsienio kalbomis, tyrime nustatomi fiksuotieji vieneto įkainiai užsienio kalba, siekiant platesnio fiksuotųjų vieneto įkainių taikymo.  </w:t>
            </w:r>
          </w:p>
          <w:p w14:paraId="796A9265" w14:textId="77777777" w:rsidR="009D5EC2" w:rsidRDefault="009D5EC2">
            <w:pPr>
              <w:spacing w:after="0" w:line="276" w:lineRule="auto"/>
              <w:jc w:val="both"/>
              <w:rPr>
                <w:szCs w:val="24"/>
              </w:rPr>
            </w:pPr>
          </w:p>
          <w:p w14:paraId="087F2B53" w14:textId="77777777" w:rsidR="009D5EC2" w:rsidRDefault="009D5EC2">
            <w:pPr>
              <w:pStyle w:val="Sraopastraipa"/>
              <w:numPr>
                <w:ilvl w:val="0"/>
                <w:numId w:val="5"/>
              </w:numPr>
              <w:spacing w:line="276" w:lineRule="auto"/>
              <w:jc w:val="center"/>
            </w:pPr>
            <w:r>
              <w:rPr>
                <w:b/>
                <w:bCs/>
                <w:szCs w:val="24"/>
              </w:rPr>
              <w:t>Fiksuotųjų vieneto įkainių nustatymas 2021–2027 m. programavimo laikotarpiui</w:t>
            </w:r>
          </w:p>
          <w:p w14:paraId="11ADC1BB" w14:textId="77777777" w:rsidR="009D5EC2" w:rsidRDefault="009D5EC2">
            <w:pPr>
              <w:pStyle w:val="Sraopastraipa"/>
              <w:spacing w:line="276" w:lineRule="auto"/>
              <w:rPr>
                <w:b/>
                <w:bCs/>
                <w:szCs w:val="24"/>
              </w:rPr>
            </w:pPr>
          </w:p>
          <w:p w14:paraId="51EDEDB6" w14:textId="77777777" w:rsidR="009D5EC2" w:rsidRDefault="009D5EC2">
            <w:pPr>
              <w:spacing w:after="0" w:line="276" w:lineRule="auto"/>
              <w:ind w:firstLine="601"/>
              <w:jc w:val="both"/>
            </w:pPr>
            <w:r>
              <w:rPr>
                <w:szCs w:val="24"/>
              </w:rPr>
              <w:t>Visų pirma buvo apskaičiuota vienam renginiui tenkanti išlaidų suma įvertinus atliktus grąžinimus ir korekcijas pagal šią formulę:</w:t>
            </w:r>
          </w:p>
          <w:p w14:paraId="2FC54399" w14:textId="77777777" w:rsidR="009D5EC2" w:rsidRDefault="009D5EC2">
            <w:pPr>
              <w:spacing w:line="276" w:lineRule="auto"/>
              <w:ind w:firstLine="601"/>
              <w:jc w:val="center"/>
              <w:rPr>
                <w:rFonts w:eastAsia="Times New Roman"/>
                <w:szCs w:val="24"/>
                <w:vertAlign w:val="subscript"/>
                <w:lang w:eastAsia="lt-LT"/>
              </w:rPr>
            </w:pPr>
            <w:r>
              <w:rPr>
                <w:rFonts w:eastAsia="Times New Roman"/>
                <w:b/>
                <w:bCs/>
                <w:szCs w:val="24"/>
                <w:lang w:eastAsia="lt-LT"/>
              </w:rPr>
              <w:t>R = (P</w:t>
            </w:r>
            <w:r>
              <w:rPr>
                <w:rFonts w:eastAsia="Times New Roman"/>
                <w:b/>
                <w:bCs/>
                <w:szCs w:val="24"/>
                <w:vertAlign w:val="subscript"/>
                <w:lang w:eastAsia="lt-LT"/>
              </w:rPr>
              <w:t>1</w:t>
            </w:r>
            <w:r>
              <w:rPr>
                <w:rFonts w:eastAsia="Times New Roman"/>
                <w:b/>
                <w:bCs/>
                <w:szCs w:val="24"/>
                <w:lang w:eastAsia="lt-LT"/>
              </w:rPr>
              <w:t xml:space="preserve"> – K - G) + P</w:t>
            </w:r>
            <w:r>
              <w:rPr>
                <w:rFonts w:eastAsia="Times New Roman"/>
                <w:b/>
                <w:bCs/>
                <w:szCs w:val="24"/>
                <w:vertAlign w:val="subscript"/>
                <w:lang w:eastAsia="lt-LT"/>
              </w:rPr>
              <w:t>2</w:t>
            </w:r>
            <w:r>
              <w:rPr>
                <w:iCs/>
                <w:szCs w:val="24"/>
              </w:rPr>
              <w:t xml:space="preserve">, </w:t>
            </w:r>
            <w:r>
              <w:rPr>
                <w:i/>
                <w:szCs w:val="24"/>
              </w:rPr>
              <w:t>kur</w:t>
            </w:r>
            <w:r>
              <w:rPr>
                <w:iCs/>
                <w:szCs w:val="24"/>
              </w:rPr>
              <w:t xml:space="preserve">               (1)</w:t>
            </w:r>
          </w:p>
          <w:p w14:paraId="3DBF0E50" w14:textId="77777777" w:rsidR="009D5EC2" w:rsidRDefault="009D5EC2">
            <w:pPr>
              <w:spacing w:before="0" w:after="0" w:line="276" w:lineRule="auto"/>
              <w:ind w:firstLine="601"/>
              <w:jc w:val="both"/>
              <w:rPr>
                <w:rFonts w:eastAsia="Times New Roman"/>
                <w:i/>
                <w:iCs/>
                <w:szCs w:val="24"/>
                <w:lang w:eastAsia="lt-LT"/>
              </w:rPr>
            </w:pPr>
            <w:r>
              <w:rPr>
                <w:rFonts w:eastAsia="Times New Roman"/>
                <w:i/>
                <w:iCs/>
                <w:szCs w:val="24"/>
                <w:lang w:eastAsia="lt-LT"/>
              </w:rPr>
              <w:t>R – renginio išlaidos;</w:t>
            </w:r>
          </w:p>
          <w:p w14:paraId="6594E2B6" w14:textId="77777777" w:rsidR="009D5EC2" w:rsidRDefault="009D5EC2">
            <w:pPr>
              <w:spacing w:before="0" w:after="0" w:line="276" w:lineRule="auto"/>
              <w:ind w:firstLine="601"/>
              <w:jc w:val="both"/>
            </w:pPr>
            <w:r>
              <w:rPr>
                <w:rFonts w:eastAsia="Times New Roman"/>
                <w:i/>
                <w:iCs/>
                <w:szCs w:val="24"/>
                <w:lang w:eastAsia="lt-LT"/>
              </w:rPr>
              <w:t>P</w:t>
            </w:r>
            <w:r>
              <w:rPr>
                <w:rFonts w:eastAsia="Times New Roman"/>
                <w:i/>
                <w:iCs/>
                <w:szCs w:val="24"/>
                <w:vertAlign w:val="subscript"/>
                <w:lang w:eastAsia="lt-LT"/>
              </w:rPr>
              <w:t xml:space="preserve">1 – </w:t>
            </w:r>
            <w:r>
              <w:rPr>
                <w:rFonts w:eastAsia="Times New Roman"/>
                <w:i/>
                <w:iCs/>
                <w:szCs w:val="24"/>
                <w:lang w:eastAsia="lt-LT"/>
              </w:rPr>
              <w:t>renginio išlaidos, nustatytos remiantis Renginio organizavimo FĮ ataskaitoje nustatytais fiksuotaisiais įkainiais;</w:t>
            </w:r>
          </w:p>
          <w:p w14:paraId="1BCA3D2E" w14:textId="77777777" w:rsidR="009D5EC2" w:rsidRDefault="009D5EC2">
            <w:pPr>
              <w:spacing w:before="0" w:after="0" w:line="276" w:lineRule="auto"/>
              <w:ind w:firstLine="601"/>
              <w:jc w:val="both"/>
            </w:pPr>
            <w:r>
              <w:rPr>
                <w:rFonts w:eastAsia="Times New Roman"/>
                <w:i/>
                <w:iCs/>
                <w:szCs w:val="24"/>
                <w:lang w:eastAsia="lt-LT"/>
              </w:rPr>
              <w:t>P</w:t>
            </w:r>
            <w:r>
              <w:rPr>
                <w:rFonts w:eastAsia="Times New Roman"/>
                <w:i/>
                <w:iCs/>
                <w:szCs w:val="24"/>
                <w:vertAlign w:val="subscript"/>
                <w:lang w:eastAsia="lt-LT"/>
              </w:rPr>
              <w:t xml:space="preserve">2 </w:t>
            </w:r>
            <w:r>
              <w:rPr>
                <w:rFonts w:eastAsia="Times New Roman"/>
                <w:i/>
                <w:iCs/>
                <w:szCs w:val="24"/>
                <w:lang w:eastAsia="lt-LT"/>
              </w:rPr>
              <w:t>– renginio išlaidos, nustatytos remiantis realiu jų patyrimu ar apskaičiuotos pagal kitus fiksuotųjų dydžių nustatymo tyrimus;</w:t>
            </w:r>
          </w:p>
          <w:p w14:paraId="3899D81E" w14:textId="77777777" w:rsidR="009D5EC2" w:rsidRDefault="009D5EC2">
            <w:pPr>
              <w:spacing w:before="0" w:after="0" w:line="276" w:lineRule="auto"/>
              <w:ind w:firstLine="601"/>
              <w:jc w:val="both"/>
            </w:pPr>
            <w:r>
              <w:rPr>
                <w:rFonts w:eastAsia="Times New Roman"/>
                <w:i/>
                <w:iCs/>
                <w:szCs w:val="24"/>
                <w:lang w:eastAsia="lt-LT"/>
              </w:rPr>
              <w:t>K – apskaičiuota korekcijos suma pritaikius išlaidų korekcijos koeficientą, kuris lygus  11,19 proc.;</w:t>
            </w:r>
          </w:p>
          <w:p w14:paraId="0104B88A" w14:textId="77777777" w:rsidR="009D5EC2" w:rsidRDefault="009D5EC2">
            <w:pPr>
              <w:spacing w:before="0" w:after="0" w:line="276" w:lineRule="auto"/>
              <w:ind w:firstLine="601"/>
              <w:jc w:val="both"/>
              <w:rPr>
                <w:rFonts w:eastAsia="Times New Roman"/>
                <w:i/>
                <w:iCs/>
                <w:szCs w:val="24"/>
                <w:lang w:eastAsia="lt-LT"/>
              </w:rPr>
            </w:pPr>
            <w:r>
              <w:rPr>
                <w:rFonts w:eastAsia="Times New Roman"/>
                <w:i/>
                <w:iCs/>
                <w:szCs w:val="24"/>
                <w:lang w:eastAsia="lt-LT"/>
              </w:rPr>
              <w:lastRenderedPageBreak/>
              <w:t>G– susigrąžintų renginio išlaidų, nustatytų remiantis Renginio organizavimo FĮ ataskaitoje nustatytais fiksuotaisiais įkainiais, suma.</w:t>
            </w:r>
          </w:p>
          <w:p w14:paraId="2D283E1B" w14:textId="77777777" w:rsidR="009D5EC2" w:rsidRDefault="009D5EC2">
            <w:pPr>
              <w:spacing w:after="0" w:line="276" w:lineRule="auto"/>
              <w:ind w:firstLine="601"/>
              <w:jc w:val="both"/>
            </w:pPr>
            <w:r>
              <w:rPr>
                <w:szCs w:val="24"/>
              </w:rPr>
              <w:t xml:space="preserve">Atlikus 1 formulėje nurodytus skaičiavimus, buvo atliekamas gautų išlaidų perskaičiavimas indeksuojant į 2024 m. kainų lygmenį (3 ir 4 priedai). </w:t>
            </w:r>
          </w:p>
          <w:p w14:paraId="7BE35F95" w14:textId="77777777" w:rsidR="009D5EC2" w:rsidRDefault="009D5EC2">
            <w:pPr>
              <w:spacing w:after="0" w:line="276" w:lineRule="auto"/>
              <w:jc w:val="both"/>
              <w:rPr>
                <w:szCs w:val="24"/>
              </w:rPr>
            </w:pPr>
          </w:p>
          <w:p w14:paraId="5CD6D14C" w14:textId="77777777" w:rsidR="009D5EC2" w:rsidRDefault="009D5EC2">
            <w:pPr>
              <w:spacing w:after="0" w:line="276" w:lineRule="auto"/>
              <w:ind w:firstLine="601"/>
              <w:jc w:val="both"/>
            </w:pPr>
            <w:r>
              <w:rPr>
                <w:szCs w:val="24"/>
              </w:rPr>
              <w:t>Renginio vienos valandos vienam dalyviui kaina (1 lentelė) apskaičiuota pagal šią formulę:</w:t>
            </w:r>
          </w:p>
          <w:p w14:paraId="38284413" w14:textId="77777777" w:rsidR="009D5EC2" w:rsidRDefault="009D5EC2">
            <w:pPr>
              <w:spacing w:line="276" w:lineRule="auto"/>
              <w:ind w:firstLine="601"/>
              <w:jc w:val="center"/>
              <w:rPr>
                <w:rFonts w:eastAsia="Times New Roman"/>
                <w:szCs w:val="24"/>
                <w:vertAlign w:val="subscript"/>
                <w:lang w:eastAsia="lt-LT"/>
              </w:rPr>
            </w:pPr>
            <w:r>
              <w:rPr>
                <w:rFonts w:eastAsia="Times New Roman"/>
                <w:b/>
                <w:bCs/>
                <w:szCs w:val="24"/>
                <w:lang w:eastAsia="lt-LT"/>
              </w:rPr>
              <w:t>R</w:t>
            </w:r>
            <w:r>
              <w:rPr>
                <w:rFonts w:eastAsia="Times New Roman"/>
                <w:b/>
                <w:bCs/>
                <w:szCs w:val="24"/>
                <w:vertAlign w:val="subscript"/>
                <w:lang w:eastAsia="lt-LT"/>
              </w:rPr>
              <w:t>asm</w:t>
            </w:r>
            <w:r>
              <w:rPr>
                <w:rFonts w:eastAsia="Times New Roman"/>
                <w:b/>
                <w:bCs/>
                <w:szCs w:val="24"/>
                <w:lang w:eastAsia="lt-LT"/>
              </w:rPr>
              <w:t xml:space="preserve"> =</w:t>
            </w:r>
            <w:r>
              <w:rPr>
                <w:rFonts w:eastAsia="Times New Roman"/>
                <w:b/>
                <w:bCs/>
                <w:szCs w:val="24"/>
                <w:vertAlign w:val="subscript"/>
                <w:lang w:eastAsia="lt-LT"/>
              </w:rPr>
              <w:t xml:space="preserve"> </w:t>
            </w:r>
            <w:r>
              <w:rPr>
                <w:rFonts w:eastAsia="Times New Roman"/>
                <w:b/>
                <w:bCs/>
                <w:szCs w:val="24"/>
                <w:lang w:eastAsia="lt-LT"/>
              </w:rPr>
              <w:t>R / D / t</w:t>
            </w:r>
            <w:r>
              <w:rPr>
                <w:iCs/>
                <w:szCs w:val="24"/>
              </w:rPr>
              <w:t xml:space="preserve">, </w:t>
            </w:r>
            <w:r>
              <w:rPr>
                <w:i/>
                <w:szCs w:val="24"/>
              </w:rPr>
              <w:t>kur</w:t>
            </w:r>
            <w:r>
              <w:rPr>
                <w:iCs/>
                <w:szCs w:val="24"/>
              </w:rPr>
              <w:t xml:space="preserve">                              (2)</w:t>
            </w:r>
          </w:p>
          <w:p w14:paraId="7BC86337" w14:textId="77777777" w:rsidR="009D5EC2" w:rsidRDefault="009D5EC2">
            <w:pPr>
              <w:spacing w:before="0" w:after="0" w:line="276" w:lineRule="auto"/>
              <w:ind w:firstLine="601"/>
              <w:jc w:val="both"/>
            </w:pPr>
            <w:r>
              <w:rPr>
                <w:rFonts w:eastAsia="Times New Roman"/>
                <w:i/>
                <w:iCs/>
                <w:szCs w:val="24"/>
                <w:lang w:eastAsia="lt-LT"/>
              </w:rPr>
              <w:t>R</w:t>
            </w:r>
            <w:r>
              <w:rPr>
                <w:rFonts w:eastAsia="Times New Roman"/>
                <w:i/>
                <w:iCs/>
                <w:szCs w:val="24"/>
                <w:vertAlign w:val="subscript"/>
                <w:lang w:eastAsia="lt-LT"/>
              </w:rPr>
              <w:t>asm</w:t>
            </w:r>
            <w:r>
              <w:rPr>
                <w:rFonts w:eastAsia="Times New Roman"/>
                <w:i/>
                <w:iCs/>
                <w:szCs w:val="24"/>
                <w:lang w:eastAsia="lt-LT"/>
              </w:rPr>
              <w:t xml:space="preserve"> – renginio vienos valandos vienam dalyviui tenkanti išlaidų suma, Eur;</w:t>
            </w:r>
          </w:p>
          <w:p w14:paraId="51933EC6" w14:textId="77777777" w:rsidR="009D5EC2" w:rsidRDefault="009D5EC2">
            <w:pPr>
              <w:spacing w:before="0" w:after="0" w:line="276" w:lineRule="auto"/>
              <w:ind w:firstLine="601"/>
              <w:jc w:val="both"/>
              <w:rPr>
                <w:rFonts w:eastAsia="Times New Roman"/>
                <w:i/>
                <w:iCs/>
                <w:szCs w:val="24"/>
                <w:lang w:eastAsia="lt-LT"/>
              </w:rPr>
            </w:pPr>
            <w:r>
              <w:rPr>
                <w:rFonts w:eastAsia="Times New Roman"/>
                <w:i/>
                <w:iCs/>
                <w:szCs w:val="24"/>
                <w:lang w:eastAsia="lt-LT"/>
              </w:rPr>
              <w:t>R</w:t>
            </w:r>
            <w:r>
              <w:rPr>
                <w:rFonts w:eastAsia="Times New Roman"/>
                <w:i/>
                <w:iCs/>
                <w:szCs w:val="24"/>
                <w:vertAlign w:val="subscript"/>
                <w:lang w:eastAsia="lt-LT"/>
              </w:rPr>
              <w:t xml:space="preserve"> </w:t>
            </w:r>
            <w:r>
              <w:rPr>
                <w:rFonts w:eastAsia="Times New Roman"/>
                <w:i/>
                <w:iCs/>
                <w:szCs w:val="24"/>
                <w:lang w:eastAsia="lt-LT"/>
              </w:rPr>
              <w:t>– renginio išlaidos;</w:t>
            </w:r>
          </w:p>
          <w:p w14:paraId="18DC0D45" w14:textId="77777777" w:rsidR="009D5EC2" w:rsidRDefault="009D5EC2">
            <w:pPr>
              <w:spacing w:before="0" w:after="0" w:line="276" w:lineRule="auto"/>
              <w:ind w:firstLine="601"/>
              <w:jc w:val="both"/>
            </w:pPr>
            <w:r>
              <w:rPr>
                <w:rFonts w:eastAsia="Times New Roman"/>
                <w:i/>
                <w:iCs/>
                <w:szCs w:val="24"/>
                <w:lang w:eastAsia="lt-LT"/>
              </w:rPr>
              <w:t>D – renginyje dalyvavusių asmenų skaičius (patikslintas įvertinus atliktus grąžinimus, kai grąžinimas susijęs su dalyvių skaičiumi);</w:t>
            </w:r>
          </w:p>
          <w:p w14:paraId="4CF5D3A7" w14:textId="77777777" w:rsidR="009D5EC2" w:rsidRDefault="009D5EC2">
            <w:pPr>
              <w:spacing w:before="0" w:after="0" w:line="276" w:lineRule="auto"/>
              <w:ind w:firstLine="601"/>
              <w:jc w:val="both"/>
              <w:rPr>
                <w:rFonts w:eastAsia="Times New Roman"/>
                <w:i/>
                <w:iCs/>
                <w:szCs w:val="24"/>
                <w:lang w:eastAsia="lt-LT"/>
              </w:rPr>
            </w:pPr>
            <w:r>
              <w:rPr>
                <w:rFonts w:eastAsia="Times New Roman"/>
                <w:i/>
                <w:iCs/>
                <w:szCs w:val="24"/>
                <w:lang w:eastAsia="lt-LT"/>
              </w:rPr>
              <w:t>t – renginio trukmė valandomis.</w:t>
            </w:r>
          </w:p>
          <w:p w14:paraId="19DB2172" w14:textId="166195E5" w:rsidR="009D5EC2" w:rsidRDefault="009D5EC2">
            <w:pPr>
              <w:spacing w:after="0" w:line="276" w:lineRule="auto"/>
              <w:ind w:firstLine="601"/>
              <w:jc w:val="both"/>
            </w:pPr>
            <w:r>
              <w:rPr>
                <w:szCs w:val="24"/>
              </w:rPr>
              <w:t>Remiantis formule Nr. 2 apskaičiuota vienam renginio dalyviui vienai valandai tenkanti išlaidų suma</w:t>
            </w:r>
            <w:r w:rsidR="00522DBB">
              <w:rPr>
                <w:szCs w:val="24"/>
              </w:rPr>
              <w:t xml:space="preserve"> ir nustatyti fiksuotieji vieneto įkainiai</w:t>
            </w:r>
            <w:r>
              <w:rPr>
                <w:szCs w:val="24"/>
              </w:rPr>
              <w:t xml:space="preserve"> (6 priedo 1 lentelė, 1 lentelė).</w:t>
            </w:r>
          </w:p>
          <w:p w14:paraId="069EDBEC" w14:textId="77777777" w:rsidR="009D5EC2" w:rsidRDefault="009D5EC2">
            <w:pPr>
              <w:spacing w:after="0" w:line="276" w:lineRule="auto"/>
              <w:ind w:firstLine="601"/>
              <w:jc w:val="both"/>
              <w:rPr>
                <w:szCs w:val="24"/>
              </w:rPr>
            </w:pPr>
          </w:p>
          <w:p w14:paraId="2741244C" w14:textId="0A7E73B9" w:rsidR="009D5EC2" w:rsidRDefault="009D5EC2">
            <w:pPr>
              <w:spacing w:line="276" w:lineRule="auto"/>
              <w:ind w:firstLine="601"/>
              <w:jc w:val="both"/>
              <w:rPr>
                <w:szCs w:val="24"/>
              </w:rPr>
            </w:pPr>
            <w:r>
              <w:rPr>
                <w:szCs w:val="24"/>
              </w:rPr>
              <w:t xml:space="preserve">pateikta informacija nustatyti fiksuotieji vieneto įkainiai su ir be PVM (6 priedo 2 lentelė, </w:t>
            </w:r>
            <w:r w:rsidR="001B5CBB">
              <w:rPr>
                <w:szCs w:val="24"/>
              </w:rPr>
              <w:t xml:space="preserve">1 </w:t>
            </w:r>
            <w:r>
              <w:rPr>
                <w:szCs w:val="24"/>
              </w:rPr>
              <w:t xml:space="preserve">lentelė). </w:t>
            </w:r>
          </w:p>
          <w:p w14:paraId="091A36C7" w14:textId="302A24C6" w:rsidR="009D5EC2" w:rsidRDefault="00522DBB">
            <w:pPr>
              <w:spacing w:line="276" w:lineRule="auto"/>
              <w:jc w:val="center"/>
              <w:rPr>
                <w:b/>
                <w:bCs/>
                <w:iCs/>
                <w:szCs w:val="24"/>
              </w:rPr>
            </w:pPr>
            <w:r>
              <w:rPr>
                <w:b/>
                <w:bCs/>
                <w:iCs/>
                <w:szCs w:val="24"/>
              </w:rPr>
              <w:t>1</w:t>
            </w:r>
            <w:r w:rsidR="009D5EC2">
              <w:rPr>
                <w:b/>
                <w:bCs/>
                <w:iCs/>
                <w:szCs w:val="24"/>
              </w:rPr>
              <w:t xml:space="preserve"> lentelė. Nustatyti fiksuotieji vieneto įkainiai </w:t>
            </w:r>
          </w:p>
          <w:tbl>
            <w:tblPr>
              <w:tblW w:w="7801" w:type="dxa"/>
              <w:jc w:val="center"/>
              <w:tblLayout w:type="fixed"/>
              <w:tblLook w:val="04A0" w:firstRow="1" w:lastRow="0" w:firstColumn="1" w:lastColumn="0" w:noHBand="0" w:noVBand="1"/>
            </w:tblPr>
            <w:tblGrid>
              <w:gridCol w:w="3578"/>
              <w:gridCol w:w="2167"/>
              <w:gridCol w:w="2056"/>
            </w:tblGrid>
            <w:tr w:rsidR="00CE1280" w14:paraId="1DCA9339" w14:textId="77777777" w:rsidTr="00923506">
              <w:trPr>
                <w:trHeight w:val="360"/>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00C1C9"/>
                  <w:vAlign w:val="center"/>
                </w:tcPr>
                <w:p w14:paraId="4DB4287D" w14:textId="77777777" w:rsidR="009D5EC2" w:rsidRDefault="009D5EC2" w:rsidP="00DE0521">
                  <w:pPr>
                    <w:spacing w:before="0" w:after="0" w:line="276" w:lineRule="auto"/>
                    <w:jc w:val="center"/>
                    <w:rPr>
                      <w:b/>
                      <w:bCs/>
                      <w:szCs w:val="24"/>
                    </w:rPr>
                  </w:pPr>
                  <w:r>
                    <w:rPr>
                      <w:rFonts w:eastAsia="Times New Roman"/>
                      <w:b/>
                      <w:bCs/>
                      <w:szCs w:val="24"/>
                      <w:lang w:eastAsia="lt-LT"/>
                    </w:rPr>
                    <w:t>Nustatyti fiksuotieji vieneto įkainiai</w:t>
                  </w:r>
                </w:p>
              </w:tc>
              <w:tc>
                <w:tcPr>
                  <w:tcW w:w="2167" w:type="dxa"/>
                  <w:tcBorders>
                    <w:top w:val="single" w:sz="4" w:space="0" w:color="000000"/>
                    <w:left w:val="single" w:sz="4" w:space="0" w:color="000000"/>
                    <w:bottom w:val="single" w:sz="4" w:space="0" w:color="000000"/>
                    <w:right w:val="single" w:sz="4" w:space="0" w:color="000000"/>
                  </w:tcBorders>
                  <w:shd w:val="clear" w:color="auto" w:fill="00C1C9"/>
                  <w:vAlign w:val="center"/>
                </w:tcPr>
                <w:p w14:paraId="13822618" w14:textId="77777777" w:rsidR="009D5EC2" w:rsidRDefault="009D5EC2" w:rsidP="00DE0521">
                  <w:pPr>
                    <w:spacing w:before="0" w:after="0" w:line="276" w:lineRule="auto"/>
                    <w:jc w:val="center"/>
                    <w:rPr>
                      <w:rFonts w:eastAsia="Times New Roman"/>
                      <w:b/>
                      <w:bCs/>
                      <w:szCs w:val="24"/>
                      <w:lang w:eastAsia="lt-LT"/>
                    </w:rPr>
                  </w:pPr>
                  <w:r>
                    <w:rPr>
                      <w:b/>
                      <w:bCs/>
                      <w:szCs w:val="24"/>
                    </w:rPr>
                    <w:t>Eur be PVM</w:t>
                  </w:r>
                </w:p>
              </w:tc>
              <w:tc>
                <w:tcPr>
                  <w:tcW w:w="2056" w:type="dxa"/>
                  <w:tcBorders>
                    <w:top w:val="single" w:sz="4" w:space="0" w:color="000000"/>
                    <w:left w:val="single" w:sz="4" w:space="0" w:color="000000"/>
                    <w:bottom w:val="single" w:sz="4" w:space="0" w:color="000000"/>
                    <w:right w:val="single" w:sz="4" w:space="0" w:color="000000"/>
                  </w:tcBorders>
                  <w:shd w:val="clear" w:color="auto" w:fill="00C1C9"/>
                  <w:vAlign w:val="center"/>
                </w:tcPr>
                <w:p w14:paraId="02FC22AA" w14:textId="77777777" w:rsidR="009D5EC2" w:rsidRDefault="009D5EC2" w:rsidP="00DE0521">
                  <w:pPr>
                    <w:spacing w:before="0" w:after="0" w:line="276" w:lineRule="auto"/>
                    <w:jc w:val="center"/>
                    <w:rPr>
                      <w:b/>
                      <w:bCs/>
                      <w:szCs w:val="24"/>
                    </w:rPr>
                  </w:pPr>
                  <w:r>
                    <w:rPr>
                      <w:b/>
                      <w:bCs/>
                      <w:szCs w:val="24"/>
                    </w:rPr>
                    <w:t>Eur su PVM</w:t>
                  </w:r>
                </w:p>
              </w:tc>
            </w:tr>
            <w:tr w:rsidR="00CE1280" w14:paraId="778D7227" w14:textId="77777777">
              <w:trPr>
                <w:trHeight w:val="261"/>
                <w:jc w:val="center"/>
              </w:trPr>
              <w:tc>
                <w:tcPr>
                  <w:tcW w:w="3578" w:type="dxa"/>
                  <w:tcBorders>
                    <w:top w:val="single" w:sz="4" w:space="0" w:color="000000"/>
                    <w:left w:val="single" w:sz="4" w:space="0" w:color="000000"/>
                    <w:bottom w:val="single" w:sz="4" w:space="0" w:color="000000"/>
                    <w:right w:val="single" w:sz="4" w:space="0" w:color="000000"/>
                  </w:tcBorders>
                </w:tcPr>
                <w:p w14:paraId="7F7EC5C6" w14:textId="77777777" w:rsidR="009D5EC2" w:rsidRDefault="009D5EC2">
                  <w:pPr>
                    <w:spacing w:before="0" w:after="0" w:line="276" w:lineRule="auto"/>
                    <w:rPr>
                      <w:rFonts w:eastAsia="Times New Roman"/>
                      <w:szCs w:val="24"/>
                      <w:lang w:eastAsia="lt-LT"/>
                    </w:rPr>
                  </w:pPr>
                  <w:r>
                    <w:t>Renginio vienos valandos vienam dalyviui fiksuotasis vieneto įkainis</w:t>
                  </w:r>
                  <w:r>
                    <w:rPr>
                      <w:rFonts w:eastAsia="Times New Roman"/>
                      <w:szCs w:val="24"/>
                      <w:lang w:eastAsia="lt-LT"/>
                    </w:rPr>
                    <w:t>, kai renginys vykdomas lietuvių kalba</w:t>
                  </w:r>
                </w:p>
              </w:tc>
              <w:tc>
                <w:tcPr>
                  <w:tcW w:w="2167" w:type="dxa"/>
                  <w:tcBorders>
                    <w:top w:val="single" w:sz="4" w:space="0" w:color="000000"/>
                    <w:left w:val="single" w:sz="4" w:space="0" w:color="000000"/>
                    <w:bottom w:val="single" w:sz="4" w:space="0" w:color="000000"/>
                    <w:right w:val="single" w:sz="4" w:space="0" w:color="000000"/>
                  </w:tcBorders>
                </w:tcPr>
                <w:p w14:paraId="3D764C7E" w14:textId="77777777" w:rsidR="009D5EC2" w:rsidRDefault="009D5EC2">
                  <w:pPr>
                    <w:spacing w:before="0" w:after="0" w:line="276" w:lineRule="auto"/>
                    <w:jc w:val="center"/>
                    <w:rPr>
                      <w:rFonts w:eastAsia="Times New Roman"/>
                      <w:b/>
                      <w:bCs/>
                      <w:szCs w:val="24"/>
                      <w:lang w:eastAsia="lt-LT"/>
                    </w:rPr>
                  </w:pPr>
                  <w:r>
                    <w:rPr>
                      <w:rFonts w:eastAsia="Times New Roman"/>
                      <w:b/>
                      <w:bCs/>
                      <w:szCs w:val="24"/>
                      <w:lang w:eastAsia="lt-LT"/>
                    </w:rPr>
                    <w:t>8,23</w:t>
                  </w:r>
                </w:p>
              </w:tc>
              <w:tc>
                <w:tcPr>
                  <w:tcW w:w="2056" w:type="dxa"/>
                  <w:tcBorders>
                    <w:top w:val="single" w:sz="4" w:space="0" w:color="000000"/>
                    <w:left w:val="single" w:sz="4" w:space="0" w:color="000000"/>
                    <w:bottom w:val="single" w:sz="4" w:space="0" w:color="000000"/>
                    <w:right w:val="single" w:sz="4" w:space="0" w:color="000000"/>
                  </w:tcBorders>
                </w:tcPr>
                <w:p w14:paraId="7E615882" w14:textId="77777777" w:rsidR="009D5EC2" w:rsidRDefault="009D5EC2">
                  <w:pPr>
                    <w:spacing w:before="0" w:after="0" w:line="276" w:lineRule="auto"/>
                    <w:jc w:val="center"/>
                    <w:rPr>
                      <w:b/>
                      <w:bCs/>
                      <w:szCs w:val="24"/>
                    </w:rPr>
                  </w:pPr>
                  <w:r>
                    <w:rPr>
                      <w:b/>
                      <w:bCs/>
                      <w:szCs w:val="24"/>
                    </w:rPr>
                    <w:t>9,31</w:t>
                  </w:r>
                </w:p>
              </w:tc>
            </w:tr>
            <w:tr w:rsidR="00CE1280" w14:paraId="1D318A87" w14:textId="77777777">
              <w:trPr>
                <w:trHeight w:val="287"/>
                <w:jc w:val="center"/>
              </w:trPr>
              <w:tc>
                <w:tcPr>
                  <w:tcW w:w="3578" w:type="dxa"/>
                  <w:tcBorders>
                    <w:top w:val="single" w:sz="4" w:space="0" w:color="000000"/>
                    <w:left w:val="single" w:sz="4" w:space="0" w:color="000000"/>
                    <w:bottom w:val="single" w:sz="4" w:space="0" w:color="000000"/>
                    <w:right w:val="single" w:sz="4" w:space="0" w:color="000000"/>
                  </w:tcBorders>
                </w:tcPr>
                <w:p w14:paraId="086136FC" w14:textId="5BD18BFB" w:rsidR="009D5EC2" w:rsidRDefault="009D5EC2">
                  <w:pPr>
                    <w:spacing w:before="0" w:after="0" w:line="276" w:lineRule="auto"/>
                    <w:rPr>
                      <w:rFonts w:eastAsia="Times New Roman"/>
                      <w:szCs w:val="24"/>
                      <w:lang w:eastAsia="lt-LT"/>
                    </w:rPr>
                  </w:pPr>
                  <w:r>
                    <w:t>Renginio vienos valandos vienam dalyviui fiksuotasis vieneto įkainis</w:t>
                  </w:r>
                  <w:r>
                    <w:rPr>
                      <w:rFonts w:eastAsia="Times New Roman"/>
                      <w:szCs w:val="24"/>
                      <w:lang w:eastAsia="lt-LT"/>
                    </w:rPr>
                    <w:t xml:space="preserve">, kai renginys vykdomas užsienio kalba </w:t>
                  </w:r>
                </w:p>
              </w:tc>
              <w:tc>
                <w:tcPr>
                  <w:tcW w:w="2167" w:type="dxa"/>
                  <w:tcBorders>
                    <w:top w:val="single" w:sz="4" w:space="0" w:color="000000"/>
                    <w:left w:val="single" w:sz="4" w:space="0" w:color="000000"/>
                    <w:bottom w:val="single" w:sz="4" w:space="0" w:color="000000"/>
                    <w:right w:val="single" w:sz="4" w:space="0" w:color="000000"/>
                  </w:tcBorders>
                </w:tcPr>
                <w:p w14:paraId="14871BEB" w14:textId="10F4040A" w:rsidR="009D5EC2" w:rsidRDefault="00522DBB">
                  <w:pPr>
                    <w:spacing w:before="0" w:after="0" w:line="276" w:lineRule="auto"/>
                    <w:jc w:val="center"/>
                    <w:rPr>
                      <w:rFonts w:eastAsia="Times New Roman"/>
                      <w:b/>
                      <w:bCs/>
                      <w:szCs w:val="24"/>
                      <w:lang w:eastAsia="lt-LT"/>
                    </w:rPr>
                  </w:pPr>
                  <w:r>
                    <w:rPr>
                      <w:rFonts w:eastAsia="Times New Roman"/>
                      <w:b/>
                      <w:bCs/>
                      <w:szCs w:val="24"/>
                      <w:lang w:eastAsia="lt-LT"/>
                    </w:rPr>
                    <w:t>10,68</w:t>
                  </w:r>
                </w:p>
              </w:tc>
              <w:tc>
                <w:tcPr>
                  <w:tcW w:w="2056" w:type="dxa"/>
                  <w:tcBorders>
                    <w:top w:val="single" w:sz="4" w:space="0" w:color="000000"/>
                    <w:left w:val="single" w:sz="4" w:space="0" w:color="000000"/>
                    <w:bottom w:val="single" w:sz="4" w:space="0" w:color="000000"/>
                    <w:right w:val="single" w:sz="4" w:space="0" w:color="000000"/>
                  </w:tcBorders>
                </w:tcPr>
                <w:p w14:paraId="1E46CCF5" w14:textId="7C4B9DAA" w:rsidR="009D5EC2" w:rsidRDefault="00522DBB">
                  <w:pPr>
                    <w:spacing w:before="0" w:after="0" w:line="276" w:lineRule="auto"/>
                    <w:jc w:val="center"/>
                    <w:rPr>
                      <w:b/>
                      <w:bCs/>
                      <w:szCs w:val="24"/>
                    </w:rPr>
                  </w:pPr>
                  <w:r>
                    <w:rPr>
                      <w:b/>
                      <w:bCs/>
                      <w:szCs w:val="24"/>
                    </w:rPr>
                    <w:t>12,81</w:t>
                  </w:r>
                </w:p>
              </w:tc>
            </w:tr>
          </w:tbl>
          <w:p w14:paraId="37343BB5" w14:textId="77777777" w:rsidR="009D5EC2" w:rsidRDefault="009D5EC2">
            <w:pPr>
              <w:spacing w:line="276" w:lineRule="auto"/>
              <w:ind w:firstLine="601"/>
              <w:jc w:val="both"/>
              <w:rPr>
                <w:szCs w:val="24"/>
              </w:rPr>
            </w:pPr>
            <w:r>
              <w:rPr>
                <w:szCs w:val="24"/>
              </w:rPr>
              <w:t xml:space="preserve">Nustatyti fiksuotieji vieneto įkainiai taikomi kompensuojant </w:t>
            </w:r>
            <w:r>
              <w:rPr>
                <w:bCs/>
                <w:szCs w:val="24"/>
              </w:rPr>
              <w:t>su renginiu susijusias išlaidas, nustatytą dydį dauginant iš renginio valandų ir renginio dalyvių skaičiaus.</w:t>
            </w:r>
          </w:p>
        </w:tc>
      </w:tr>
    </w:tbl>
    <w:p w14:paraId="4DA53C42" w14:textId="77777777" w:rsidR="009D5EC2" w:rsidRDefault="009D5EC2">
      <w:pPr>
        <w:tabs>
          <w:tab w:val="left" w:pos="284"/>
        </w:tabs>
        <w:jc w:val="both"/>
      </w:pPr>
      <w:r>
        <w:rPr>
          <w:rFonts w:eastAsia="Times New Roman"/>
          <w:szCs w:val="24"/>
        </w:rPr>
        <w:lastRenderedPageBreak/>
        <w:t xml:space="preserve"> </w:t>
      </w:r>
      <w:r>
        <w:t>4.</w:t>
      </w:r>
      <w:r>
        <w:tab/>
        <w:t>Paaiškinkite, kaip užtikrinote, kad į fiksuotojo vieneto įkainio, fiksuotosios sumos ar fiksuotosios normos skaičiavimą buvo įtrauktos tik tinkamos finansuoti išlaidos.</w:t>
      </w:r>
    </w:p>
    <w:tbl>
      <w:tblPr>
        <w:tblW w:w="9854" w:type="dxa"/>
        <w:tblInd w:w="-113" w:type="dxa"/>
        <w:tblLayout w:type="fixed"/>
        <w:tblLook w:val="04A0" w:firstRow="1" w:lastRow="0" w:firstColumn="1" w:lastColumn="0" w:noHBand="0" w:noVBand="1"/>
      </w:tblPr>
      <w:tblGrid>
        <w:gridCol w:w="9854"/>
      </w:tblGrid>
      <w:tr w:rsidR="00CE1280" w14:paraId="1D6F4217" w14:textId="77777777">
        <w:tc>
          <w:tcPr>
            <w:tcW w:w="9854" w:type="dxa"/>
            <w:tcBorders>
              <w:top w:val="single" w:sz="4" w:space="0" w:color="000000"/>
              <w:left w:val="single" w:sz="4" w:space="0" w:color="000000"/>
              <w:bottom w:val="single" w:sz="4" w:space="0" w:color="000000"/>
              <w:right w:val="single" w:sz="4" w:space="0" w:color="000000"/>
            </w:tcBorders>
          </w:tcPr>
          <w:p w14:paraId="57057E20" w14:textId="77777777" w:rsidR="009D5EC2" w:rsidRDefault="009D5EC2">
            <w:pPr>
              <w:spacing w:after="0" w:line="276" w:lineRule="auto"/>
              <w:ind w:firstLine="567"/>
              <w:jc w:val="both"/>
            </w:pPr>
            <w:r>
              <w:rPr>
                <w:szCs w:val="24"/>
              </w:rPr>
              <w:t>Nustatant fiksuotuosius vieneto įkainius, į Tyrimą buvo įtrauktos tik tos išlaidos, kurios analizuojamu laikotarpiu įgyvendinančiosios institucijos buvo pripažintos tinkamomis finansuoti ir deklaruotinomis EK. Į fiksuotųjų vieneto įkainių apskaičiavimą įtraukti tik tinkami duomenys, nes Tyrimo metu atlikti visi būtini veiksmai:</w:t>
            </w:r>
          </w:p>
          <w:p w14:paraId="08C47CC7" w14:textId="77777777" w:rsidR="009D5EC2" w:rsidRDefault="009D5EC2">
            <w:pPr>
              <w:pStyle w:val="Sraopastraipa"/>
              <w:numPr>
                <w:ilvl w:val="0"/>
                <w:numId w:val="2"/>
              </w:numPr>
              <w:spacing w:before="0" w:after="0" w:line="276" w:lineRule="auto"/>
              <w:jc w:val="both"/>
            </w:pPr>
            <w:r>
              <w:rPr>
                <w:szCs w:val="24"/>
              </w:rPr>
              <w:lastRenderedPageBreak/>
              <w:t>iš Tyrimo duomenų eliminuotos eilutės, kurių informacija nėra atsekama arba jos nebuvo tinkamos įtraukti į skaičiavimus dėl kitų priežasčių;</w:t>
            </w:r>
          </w:p>
          <w:p w14:paraId="74F38806" w14:textId="77777777" w:rsidR="009D5EC2" w:rsidRDefault="009D5EC2">
            <w:pPr>
              <w:pStyle w:val="Sraopastraipa"/>
              <w:numPr>
                <w:ilvl w:val="0"/>
                <w:numId w:val="2"/>
              </w:numPr>
              <w:spacing w:line="276" w:lineRule="auto"/>
              <w:jc w:val="both"/>
              <w:rPr>
                <w:szCs w:val="24"/>
              </w:rPr>
            </w:pPr>
            <w:r>
              <w:rPr>
                <w:szCs w:val="24"/>
              </w:rPr>
              <w:t>įvertinti su deklaruotomis išlaidomis susiję grąžinimai;</w:t>
            </w:r>
          </w:p>
          <w:p w14:paraId="3DB6550D" w14:textId="77777777" w:rsidR="009D5EC2" w:rsidRDefault="009D5EC2">
            <w:pPr>
              <w:pStyle w:val="Sraopastraipa"/>
              <w:numPr>
                <w:ilvl w:val="0"/>
                <w:numId w:val="2"/>
              </w:numPr>
              <w:spacing w:line="276" w:lineRule="auto"/>
              <w:jc w:val="both"/>
            </w:pPr>
            <w:r>
              <w:rPr>
                <w:szCs w:val="24"/>
              </w:rPr>
              <w:t>atliktas renginių, įgyvendintų iki 2021 m. balandžio 11 d., patirtų išlaidų perskaičiavimas taikant korekcinį koeficientą;</w:t>
            </w:r>
          </w:p>
          <w:p w14:paraId="16E9ABC4" w14:textId="77777777" w:rsidR="009D5EC2" w:rsidRDefault="009D5EC2">
            <w:pPr>
              <w:pStyle w:val="Sraopastraipa"/>
              <w:numPr>
                <w:ilvl w:val="0"/>
                <w:numId w:val="2"/>
              </w:numPr>
              <w:spacing w:line="276" w:lineRule="auto"/>
              <w:jc w:val="both"/>
              <w:rPr>
                <w:szCs w:val="24"/>
              </w:rPr>
            </w:pPr>
            <w:r>
              <w:rPr>
                <w:szCs w:val="24"/>
              </w:rPr>
              <w:t>siekiant nustatyti aktualų vidutinį išlaidų dydį, duomenys indeksuoti 2024 metų kainų lygmeniu.</w:t>
            </w:r>
          </w:p>
        </w:tc>
      </w:tr>
    </w:tbl>
    <w:p w14:paraId="5047358F" w14:textId="77777777" w:rsidR="009D5EC2" w:rsidRDefault="009D5EC2">
      <w:pPr>
        <w:pStyle w:val="Point0"/>
        <w:ind w:left="567" w:hanging="567"/>
        <w:jc w:val="both"/>
      </w:pPr>
      <w:r>
        <w:lastRenderedPageBreak/>
        <w:t>5.</w:t>
      </w:r>
      <w:r>
        <w:tab/>
        <w:t>Audito institucijos (-ų) atliktas skaičiavimo metodų ir sumų įvertinimas ir duomenų tikrinimo, kokybės, rinkimo ir saugojimo užtikrinimo tvarka.</w:t>
      </w:r>
    </w:p>
    <w:tbl>
      <w:tblPr>
        <w:tblW w:w="9854" w:type="dxa"/>
        <w:tblInd w:w="-113" w:type="dxa"/>
        <w:tblLayout w:type="fixed"/>
        <w:tblLook w:val="04A0" w:firstRow="1" w:lastRow="0" w:firstColumn="1" w:lastColumn="0" w:noHBand="0" w:noVBand="1"/>
      </w:tblPr>
      <w:tblGrid>
        <w:gridCol w:w="9854"/>
      </w:tblGrid>
      <w:tr w:rsidR="00CE1280" w14:paraId="075E882C" w14:textId="77777777">
        <w:tc>
          <w:tcPr>
            <w:tcW w:w="9854" w:type="dxa"/>
            <w:tcBorders>
              <w:top w:val="single" w:sz="4" w:space="0" w:color="000000"/>
              <w:left w:val="single" w:sz="4" w:space="0" w:color="000000"/>
              <w:bottom w:val="single" w:sz="4" w:space="0" w:color="000000"/>
              <w:right w:val="single" w:sz="4" w:space="0" w:color="000000"/>
            </w:tcBorders>
          </w:tcPr>
          <w:p w14:paraId="56DE9A8C" w14:textId="77777777" w:rsidR="009D5EC2" w:rsidRDefault="009D5EC2">
            <w:pPr>
              <w:spacing w:line="276" w:lineRule="auto"/>
              <w:ind w:firstLine="709"/>
              <w:jc w:val="both"/>
            </w:pPr>
            <w:r>
              <w:rPr>
                <w:b/>
                <w:spacing w:val="6"/>
                <w:szCs w:val="24"/>
              </w:rPr>
              <w:t>Bendras supaprastintai apmokamų išlaidų (toliau - SIA) tyrimo vertinimas:</w:t>
            </w:r>
            <w:r>
              <w:rPr>
                <w:spacing w:val="6"/>
                <w:szCs w:val="24"/>
              </w:rPr>
              <w:t xml:space="preserve"> TEIGIAMAS</w:t>
            </w:r>
          </w:p>
          <w:p w14:paraId="34DBC068" w14:textId="77777777" w:rsidR="009D5EC2" w:rsidRDefault="009D5EC2">
            <w:pPr>
              <w:spacing w:line="276" w:lineRule="auto"/>
              <w:ind w:firstLine="709"/>
              <w:jc w:val="both"/>
            </w:pPr>
            <w:r>
              <w:rPr>
                <w:szCs w:val="24"/>
              </w:rPr>
              <w:t>Projekto dalyvio dalyvavimo renginyje išlaidų</w:t>
            </w:r>
            <w:r>
              <w:rPr>
                <w:b/>
                <w:spacing w:val="6"/>
                <w:szCs w:val="24"/>
              </w:rPr>
              <w:t xml:space="preserve"> </w:t>
            </w:r>
            <w:r>
              <w:rPr>
                <w:spacing w:val="6"/>
                <w:szCs w:val="24"/>
              </w:rPr>
              <w:t>fiksuotojo vieneto įkainio finansavimas buvo nustatytas pagal 94 straipsnio 2 dalį, remiantis sąžiningu, teisingu ir patikrinamu apskaičiavimo metodu, pagrįstu šiuo būdu: patikrintais istoriniais duomenimis.</w:t>
            </w:r>
          </w:p>
          <w:p w14:paraId="6D711D8F" w14:textId="77777777" w:rsidR="009D5EC2" w:rsidRDefault="009D5EC2">
            <w:pPr>
              <w:spacing w:line="276" w:lineRule="auto"/>
              <w:ind w:firstLine="709"/>
              <w:jc w:val="both"/>
            </w:pPr>
            <w:r>
              <w:rPr>
                <w:b/>
                <w:spacing w:val="6"/>
                <w:szCs w:val="24"/>
              </w:rPr>
              <w:t>Remdamasi SIA dydžių nustatymo tyrimo vertinimu, Audito institucija gali patvirtinti, kad siūloma struktūra atitinka norminius reikalavimus, visų pirma</w:t>
            </w:r>
            <w:r>
              <w:rPr>
                <w:spacing w:val="6"/>
                <w:szCs w:val="24"/>
              </w:rPr>
              <w:t>:</w:t>
            </w:r>
          </w:p>
          <w:p w14:paraId="2787F79A" w14:textId="77777777" w:rsidR="009D5EC2" w:rsidRDefault="009D5EC2">
            <w:pPr>
              <w:pStyle w:val="Sraopastraipa"/>
              <w:numPr>
                <w:ilvl w:val="0"/>
                <w:numId w:val="7"/>
              </w:numPr>
              <w:spacing w:before="0" w:after="0" w:line="276" w:lineRule="auto"/>
              <w:ind w:left="0" w:firstLine="709"/>
              <w:jc w:val="both"/>
            </w:pPr>
            <w:r>
              <w:rPr>
                <w:spacing w:val="6"/>
                <w:szCs w:val="24"/>
              </w:rPr>
              <w:t>apskaičiavimo metodas yra sąžiningas, teisingas ir patikrinamas;</w:t>
            </w:r>
          </w:p>
          <w:p w14:paraId="2632A424" w14:textId="77777777" w:rsidR="009D5EC2" w:rsidRDefault="009D5EC2">
            <w:pPr>
              <w:pStyle w:val="Sraopastraipa"/>
              <w:numPr>
                <w:ilvl w:val="0"/>
                <w:numId w:val="7"/>
              </w:numPr>
              <w:spacing w:before="0" w:after="0" w:line="276" w:lineRule="auto"/>
              <w:ind w:left="0" w:firstLine="709"/>
              <w:jc w:val="both"/>
              <w:rPr>
                <w:i/>
                <w:spacing w:val="6"/>
                <w:szCs w:val="24"/>
              </w:rPr>
            </w:pPr>
            <w:r>
              <w:rPr>
                <w:spacing w:val="6"/>
                <w:szCs w:val="24"/>
              </w:rPr>
              <w:t>naudojami duomenys yra pagrįsti patikrintais istoriniais duomenimis;</w:t>
            </w:r>
          </w:p>
          <w:p w14:paraId="7FCFC0B5" w14:textId="77777777" w:rsidR="009D5EC2" w:rsidRDefault="009D5EC2">
            <w:pPr>
              <w:spacing w:line="276" w:lineRule="auto"/>
              <w:ind w:firstLine="709"/>
              <w:jc w:val="both"/>
              <w:rPr>
                <w:spacing w:val="6"/>
                <w:szCs w:val="24"/>
              </w:rPr>
            </w:pPr>
            <w:r>
              <w:rPr>
                <w:spacing w:val="6"/>
                <w:szCs w:val="24"/>
              </w:rPr>
              <w:t>Naudoti duomenys įvertinti kaip patikimi ir susiję su veiksmų tipu;</w:t>
            </w:r>
          </w:p>
          <w:p w14:paraId="6020D278" w14:textId="77777777" w:rsidR="009D5EC2" w:rsidRDefault="009D5EC2">
            <w:pPr>
              <w:pStyle w:val="Sraopastraipa"/>
              <w:numPr>
                <w:ilvl w:val="0"/>
                <w:numId w:val="7"/>
              </w:numPr>
              <w:spacing w:before="0" w:after="0" w:line="276" w:lineRule="auto"/>
              <w:ind w:left="0" w:firstLine="709"/>
              <w:jc w:val="both"/>
              <w:rPr>
                <w:spacing w:val="6"/>
                <w:szCs w:val="24"/>
              </w:rPr>
            </w:pPr>
            <w:r>
              <w:rPr>
                <w:spacing w:val="6"/>
                <w:szCs w:val="24"/>
              </w:rPr>
              <w:t>išlaidų kategorijos ir rūšys, į kurias atsižvelgiama nustatant SIA dydžius, atitinka atitinkamas nacionalines ir ES tinkamumo finansuoti taisykles, visų pirma nustatytas Bendrųjų nuostatų reglamento III skyriaus 64 ir 67 straipsniuose;</w:t>
            </w:r>
          </w:p>
          <w:p w14:paraId="66372307" w14:textId="77777777" w:rsidR="009D5EC2" w:rsidRDefault="009D5EC2">
            <w:pPr>
              <w:pStyle w:val="Sraopastraipa"/>
              <w:numPr>
                <w:ilvl w:val="0"/>
                <w:numId w:val="7"/>
              </w:numPr>
              <w:spacing w:before="0" w:after="0" w:line="276" w:lineRule="auto"/>
              <w:ind w:left="0" w:firstLine="709"/>
              <w:jc w:val="both"/>
            </w:pPr>
            <w:r>
              <w:rPr>
                <w:spacing w:val="6"/>
                <w:szCs w:val="24"/>
              </w:rPr>
              <w:t>remiantis turima informacija apie fiksuotojo vieneto įkainio struktūrą, nėra rizikos, kad tos pačios išlaidos bus dvigubai finansuojamos (aptariamas (-i) SIA dydis (-iai) nepadengia visų veiksmo išlaidų, papildomos išlaidos, kompensuojamos kaip realios išlaidos ir naudojant kitą (-us) SIA dydį (-ius), nesidubliuoja arba nepadengia tų pačių išlaidų);</w:t>
            </w:r>
          </w:p>
          <w:p w14:paraId="6C47B0C9" w14:textId="77777777" w:rsidR="009D5EC2" w:rsidRDefault="009D5EC2">
            <w:pPr>
              <w:pStyle w:val="Sraopastraipa"/>
              <w:numPr>
                <w:ilvl w:val="0"/>
                <w:numId w:val="7"/>
              </w:numPr>
              <w:spacing w:before="0" w:after="0" w:line="276" w:lineRule="auto"/>
              <w:ind w:left="0" w:firstLine="709"/>
              <w:jc w:val="both"/>
              <w:rPr>
                <w:spacing w:val="6"/>
                <w:szCs w:val="24"/>
              </w:rPr>
            </w:pPr>
            <w:r>
              <w:rPr>
                <w:spacing w:val="6"/>
                <w:szCs w:val="24"/>
              </w:rPr>
              <w:t>nustatytos SIA sumos už matavimo vienetą atitinka padarytas prielaidas ir duomenis, naudojamus nustatant sumas;</w:t>
            </w:r>
          </w:p>
          <w:p w14:paraId="155608C8" w14:textId="77777777" w:rsidR="009D5EC2" w:rsidRDefault="009D5EC2">
            <w:pPr>
              <w:pStyle w:val="Sraopastraipa"/>
              <w:numPr>
                <w:ilvl w:val="0"/>
                <w:numId w:val="7"/>
              </w:numPr>
              <w:spacing w:before="0" w:after="0" w:line="276" w:lineRule="auto"/>
              <w:ind w:left="0" w:firstLine="709"/>
              <w:jc w:val="both"/>
            </w:pPr>
            <w:r>
              <w:rPr>
                <w:spacing w:val="6"/>
                <w:szCs w:val="24"/>
              </w:rPr>
              <w:t xml:space="preserve">koregavimo metodo aprašyme pateikiama pakankamai informacijos apie jo taikymo sąlygas ir laiką, sąlygos yra aiškios ir išmatuojamos, o metodas laikomas tinkamu.  </w:t>
            </w:r>
          </w:p>
          <w:p w14:paraId="209B9A94" w14:textId="77777777" w:rsidR="009D5EC2" w:rsidRDefault="009D5EC2">
            <w:pPr>
              <w:spacing w:line="276" w:lineRule="auto"/>
              <w:ind w:firstLine="709"/>
              <w:jc w:val="both"/>
              <w:rPr>
                <w:spacing w:val="6"/>
                <w:szCs w:val="24"/>
              </w:rPr>
            </w:pPr>
            <w:r>
              <w:rPr>
                <w:spacing w:val="6"/>
                <w:szCs w:val="24"/>
              </w:rPr>
              <w:t>Kalbant apie priemones, kuriomis užtikrinama duomenų patikra, kokybė, rinkimas ir saugojimas, planuojama naudoti atitinkamus patvirtinamuosius dokumentus ir sistemą, siekiant patvirtinti, kad pasiektas tarpinis vienetų skaičius ir užtikrintas duomenų saugojimas.</w:t>
            </w:r>
          </w:p>
          <w:p w14:paraId="0C85E2E8" w14:textId="77777777" w:rsidR="009D5EC2" w:rsidRDefault="009D5EC2">
            <w:pPr>
              <w:spacing w:line="276" w:lineRule="auto"/>
              <w:ind w:firstLine="709"/>
              <w:jc w:val="both"/>
              <w:rPr>
                <w:spacing w:val="6"/>
                <w:szCs w:val="24"/>
              </w:rPr>
            </w:pPr>
            <w:r>
              <w:rPr>
                <w:spacing w:val="6"/>
                <w:szCs w:val="24"/>
              </w:rPr>
              <w:t>Šis vertinimas apima visus atitinkamus elementus, išvardytus Europos Komisijos SIA klausimyno 1 skirsnyje.</w:t>
            </w:r>
          </w:p>
        </w:tc>
      </w:tr>
    </w:tbl>
    <w:p w14:paraId="509AA1B4" w14:textId="77777777" w:rsidR="009D5EC2" w:rsidRDefault="009D5EC2"/>
    <w:sectPr w:rsidR="009D5EC2">
      <w:footerReference w:type="default" r:id="rId12"/>
      <w:pgSz w:w="11906" w:h="16838"/>
      <w:pgMar w:top="1701" w:right="567" w:bottom="1134" w:left="1701" w:header="0" w:footer="37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B90C9" w14:textId="77777777" w:rsidR="00B3076E" w:rsidRDefault="00B3076E">
      <w:pPr>
        <w:spacing w:before="0" w:after="0" w:line="240" w:lineRule="auto"/>
      </w:pPr>
      <w:r>
        <w:separator/>
      </w:r>
    </w:p>
  </w:endnote>
  <w:endnote w:type="continuationSeparator" w:id="0">
    <w:p w14:paraId="7BA1CE9F" w14:textId="77777777" w:rsidR="00B3076E" w:rsidRDefault="00B307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50" w:type="pct"/>
      <w:jc w:val="center"/>
      <w:tblLayout w:type="fixed"/>
      <w:tblCellMar>
        <w:top w:w="57" w:type="dxa"/>
        <w:left w:w="0" w:type="dxa"/>
        <w:right w:w="0" w:type="dxa"/>
      </w:tblCellMar>
      <w:tblLook w:val="04A0" w:firstRow="1" w:lastRow="0" w:firstColumn="1" w:lastColumn="0" w:noHBand="0" w:noVBand="1"/>
    </w:tblPr>
    <w:tblGrid>
      <w:gridCol w:w="5163"/>
      <w:gridCol w:w="2113"/>
      <w:gridCol w:w="1818"/>
      <w:gridCol w:w="301"/>
      <w:gridCol w:w="2157"/>
      <w:gridCol w:w="1283"/>
      <w:gridCol w:w="1881"/>
    </w:tblGrid>
    <w:tr w:rsidR="00CE1280" w14:paraId="0BBDC897" w14:textId="77777777">
      <w:trPr>
        <w:jc w:val="center"/>
      </w:trPr>
      <w:tc>
        <w:tcPr>
          <w:tcW w:w="14715" w:type="dxa"/>
          <w:gridSpan w:val="7"/>
        </w:tcPr>
        <w:p w14:paraId="09C2A843" w14:textId="77777777" w:rsidR="009D5EC2" w:rsidRDefault="009D5EC2">
          <w:pPr>
            <w:pStyle w:val="FooterText"/>
            <w:pBdr>
              <w:top w:val="single" w:sz="4" w:space="1" w:color="000000"/>
            </w:pBdr>
            <w:snapToGrid w:val="0"/>
            <w:spacing w:before="200"/>
            <w:rPr>
              <w:sz w:val="2"/>
              <w:szCs w:val="2"/>
            </w:rPr>
          </w:pPr>
        </w:p>
      </w:tc>
    </w:tr>
    <w:tr w:rsidR="00CE1280" w14:paraId="15273F09" w14:textId="77777777">
      <w:trPr>
        <w:jc w:val="center"/>
      </w:trPr>
      <w:tc>
        <w:tcPr>
          <w:tcW w:w="7275" w:type="dxa"/>
          <w:gridSpan w:val="2"/>
          <w:tcMar>
            <w:top w:w="0" w:type="dxa"/>
          </w:tcMar>
        </w:tcPr>
        <w:p w14:paraId="0AC50FD1" w14:textId="77777777" w:rsidR="009D5EC2" w:rsidRDefault="009D5EC2">
          <w:pPr>
            <w:pStyle w:val="FooterText"/>
          </w:pPr>
          <w:r>
            <w:t>SN 1611/21 ADD 1 REV 1</w:t>
          </w:r>
        </w:p>
      </w:tc>
      <w:tc>
        <w:tcPr>
          <w:tcW w:w="1818" w:type="dxa"/>
          <w:tcMar>
            <w:top w:w="0" w:type="dxa"/>
          </w:tcMar>
        </w:tcPr>
        <w:p w14:paraId="44FC78ED" w14:textId="77777777" w:rsidR="009D5EC2" w:rsidRDefault="009D5EC2">
          <w:pPr>
            <w:pStyle w:val="FooterText"/>
            <w:snapToGrid w:val="0"/>
            <w:jc w:val="center"/>
          </w:pPr>
        </w:p>
      </w:tc>
      <w:tc>
        <w:tcPr>
          <w:tcW w:w="3741" w:type="dxa"/>
          <w:gridSpan w:val="3"/>
          <w:tcMar>
            <w:top w:w="0" w:type="dxa"/>
          </w:tcMar>
        </w:tcPr>
        <w:p w14:paraId="24B7F830" w14:textId="77777777" w:rsidR="009D5EC2" w:rsidRDefault="009D5EC2">
          <w:pPr>
            <w:pStyle w:val="FooterText"/>
            <w:jc w:val="center"/>
          </w:pPr>
          <w:r>
            <w:t>da,lj,nv/DA,NV,LJ/nva</w:t>
          </w:r>
        </w:p>
      </w:tc>
      <w:tc>
        <w:tcPr>
          <w:tcW w:w="1881" w:type="dxa"/>
          <w:tcMar>
            <w:top w:w="0" w:type="dxa"/>
          </w:tcMar>
        </w:tcPr>
        <w:p w14:paraId="40B905FB" w14:textId="77777777" w:rsidR="009D5EC2" w:rsidRDefault="009D5EC2">
          <w:pPr>
            <w:pStyle w:val="FooterText"/>
            <w:jc w:val="right"/>
          </w:pPr>
          <w:r>
            <w:fldChar w:fldCharType="begin"/>
          </w:r>
          <w:r>
            <w:instrText xml:space="preserve"> PAGE </w:instrText>
          </w:r>
          <w:r>
            <w:fldChar w:fldCharType="separate"/>
          </w:r>
          <w:r>
            <w:t>4</w:t>
          </w:r>
          <w:r>
            <w:fldChar w:fldCharType="end"/>
          </w:r>
        </w:p>
      </w:tc>
    </w:tr>
    <w:tr w:rsidR="00CE1280" w14:paraId="55C2ADC9" w14:textId="77777777">
      <w:trPr>
        <w:trHeight w:val="119"/>
        <w:jc w:val="center"/>
      </w:trPr>
      <w:tc>
        <w:tcPr>
          <w:tcW w:w="5162" w:type="dxa"/>
          <w:tcMar>
            <w:top w:w="0" w:type="dxa"/>
          </w:tcMar>
        </w:tcPr>
        <w:p w14:paraId="1DA9EF60" w14:textId="77777777" w:rsidR="009D5EC2" w:rsidRDefault="009D5EC2">
          <w:pPr>
            <w:pStyle w:val="FooterText"/>
            <w:spacing w:before="40"/>
          </w:pPr>
          <w:r>
            <w:t>V PRIEDAS</w:t>
          </w:r>
        </w:p>
      </w:tc>
      <w:tc>
        <w:tcPr>
          <w:tcW w:w="4232" w:type="dxa"/>
          <w:gridSpan w:val="3"/>
          <w:tcMar>
            <w:top w:w="0" w:type="dxa"/>
          </w:tcMar>
        </w:tcPr>
        <w:p w14:paraId="1B50E4B5" w14:textId="77777777" w:rsidR="009D5EC2" w:rsidRDefault="009D5EC2">
          <w:pPr>
            <w:pStyle w:val="FooterText"/>
            <w:spacing w:before="40"/>
            <w:jc w:val="center"/>
          </w:pPr>
          <w:r>
            <w:t>ECOMP.2</w:t>
          </w:r>
        </w:p>
      </w:tc>
      <w:tc>
        <w:tcPr>
          <w:tcW w:w="2157" w:type="dxa"/>
          <w:tcMar>
            <w:top w:w="0" w:type="dxa"/>
          </w:tcMar>
        </w:tcPr>
        <w:p w14:paraId="0962BB64" w14:textId="77777777" w:rsidR="009D5EC2" w:rsidRDefault="009D5EC2">
          <w:pPr>
            <w:pStyle w:val="FooterText"/>
            <w:snapToGrid w:val="0"/>
            <w:jc w:val="center"/>
            <w:rPr>
              <w:b/>
              <w:position w:val="-4"/>
              <w:sz w:val="36"/>
            </w:rPr>
          </w:pPr>
        </w:p>
      </w:tc>
      <w:tc>
        <w:tcPr>
          <w:tcW w:w="3164" w:type="dxa"/>
          <w:gridSpan w:val="2"/>
          <w:tcMar>
            <w:top w:w="0" w:type="dxa"/>
          </w:tcMar>
        </w:tcPr>
        <w:p w14:paraId="2BBB9151" w14:textId="77777777" w:rsidR="009D5EC2" w:rsidRDefault="009D5EC2">
          <w:pPr>
            <w:pStyle w:val="FooterText"/>
            <w:jc w:val="right"/>
            <w:rPr>
              <w:spacing w:val="-20"/>
              <w:sz w:val="16"/>
            </w:rPr>
          </w:pPr>
          <w:r>
            <w:rPr>
              <w:b/>
              <w:spacing w:val="-20"/>
              <w:position w:val="-4"/>
              <w:sz w:val="36"/>
            </w:rPr>
            <w:t>LT</w:t>
          </w:r>
        </w:p>
      </w:tc>
    </w:tr>
  </w:tbl>
  <w:p w14:paraId="2891DE4C" w14:textId="77777777" w:rsidR="009D5EC2" w:rsidRDefault="009D5EC2">
    <w:pPr>
      <w:pStyle w:val="FooterCounci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50" w:type="pct"/>
      <w:jc w:val="center"/>
      <w:tblLayout w:type="fixed"/>
      <w:tblCellMar>
        <w:top w:w="57" w:type="dxa"/>
        <w:left w:w="0" w:type="dxa"/>
        <w:right w:w="0" w:type="dxa"/>
      </w:tblCellMar>
      <w:tblLook w:val="04A0" w:firstRow="1" w:lastRow="0" w:firstColumn="1" w:lastColumn="0" w:noHBand="0" w:noVBand="1"/>
    </w:tblPr>
    <w:tblGrid>
      <w:gridCol w:w="5162"/>
      <w:gridCol w:w="2114"/>
      <w:gridCol w:w="1817"/>
      <w:gridCol w:w="301"/>
      <w:gridCol w:w="2157"/>
      <w:gridCol w:w="1284"/>
      <w:gridCol w:w="1881"/>
    </w:tblGrid>
    <w:tr w:rsidR="00CE1280" w14:paraId="78CA36A1" w14:textId="77777777">
      <w:trPr>
        <w:jc w:val="center"/>
      </w:trPr>
      <w:tc>
        <w:tcPr>
          <w:tcW w:w="9734" w:type="dxa"/>
          <w:gridSpan w:val="7"/>
        </w:tcPr>
        <w:p w14:paraId="390E6876" w14:textId="77777777" w:rsidR="009D5EC2" w:rsidRDefault="009D5EC2">
          <w:pPr>
            <w:pStyle w:val="FooterText"/>
            <w:pBdr>
              <w:top w:val="single" w:sz="4" w:space="1" w:color="000000"/>
            </w:pBdr>
            <w:snapToGrid w:val="0"/>
            <w:spacing w:before="200"/>
            <w:rPr>
              <w:sz w:val="2"/>
              <w:szCs w:val="2"/>
            </w:rPr>
          </w:pPr>
        </w:p>
      </w:tc>
    </w:tr>
    <w:tr w:rsidR="00CE1280" w14:paraId="314111C0" w14:textId="77777777">
      <w:trPr>
        <w:jc w:val="center"/>
      </w:trPr>
      <w:tc>
        <w:tcPr>
          <w:tcW w:w="4813" w:type="dxa"/>
          <w:gridSpan w:val="2"/>
          <w:tcMar>
            <w:top w:w="0" w:type="dxa"/>
          </w:tcMar>
        </w:tcPr>
        <w:p w14:paraId="009EAE6F" w14:textId="77777777" w:rsidR="009D5EC2" w:rsidRDefault="009D5EC2">
          <w:pPr>
            <w:pStyle w:val="FooterText"/>
          </w:pPr>
          <w:r>
            <w:t>SN 1611/21 ADD 1 REV 1</w:t>
          </w:r>
        </w:p>
      </w:tc>
      <w:tc>
        <w:tcPr>
          <w:tcW w:w="1202" w:type="dxa"/>
          <w:tcMar>
            <w:top w:w="0" w:type="dxa"/>
          </w:tcMar>
        </w:tcPr>
        <w:p w14:paraId="62969A2F" w14:textId="77777777" w:rsidR="009D5EC2" w:rsidRDefault="009D5EC2">
          <w:pPr>
            <w:pStyle w:val="FooterText"/>
            <w:snapToGrid w:val="0"/>
            <w:jc w:val="center"/>
          </w:pPr>
        </w:p>
      </w:tc>
      <w:tc>
        <w:tcPr>
          <w:tcW w:w="2475" w:type="dxa"/>
          <w:gridSpan w:val="3"/>
          <w:tcMar>
            <w:top w:w="0" w:type="dxa"/>
          </w:tcMar>
        </w:tcPr>
        <w:p w14:paraId="46A5F051" w14:textId="77777777" w:rsidR="009D5EC2" w:rsidRDefault="009D5EC2">
          <w:pPr>
            <w:pStyle w:val="FooterText"/>
            <w:jc w:val="center"/>
          </w:pPr>
          <w:r>
            <w:t>da,lj,nv/DA,NV,LJ/nva</w:t>
          </w:r>
        </w:p>
      </w:tc>
      <w:tc>
        <w:tcPr>
          <w:tcW w:w="1244" w:type="dxa"/>
          <w:tcMar>
            <w:top w:w="0" w:type="dxa"/>
          </w:tcMar>
        </w:tcPr>
        <w:p w14:paraId="6701204D" w14:textId="77777777" w:rsidR="009D5EC2" w:rsidRDefault="009D5EC2">
          <w:pPr>
            <w:pStyle w:val="FooterText"/>
            <w:jc w:val="right"/>
          </w:pPr>
          <w:r>
            <w:fldChar w:fldCharType="begin"/>
          </w:r>
          <w:r>
            <w:instrText xml:space="preserve"> PAGE </w:instrText>
          </w:r>
          <w:r>
            <w:fldChar w:fldCharType="separate"/>
          </w:r>
          <w:r>
            <w:t>19</w:t>
          </w:r>
          <w:r>
            <w:fldChar w:fldCharType="end"/>
          </w:r>
        </w:p>
      </w:tc>
    </w:tr>
    <w:tr w:rsidR="00CE1280" w14:paraId="3705D92A" w14:textId="77777777">
      <w:trPr>
        <w:trHeight w:val="119"/>
        <w:jc w:val="center"/>
      </w:trPr>
      <w:tc>
        <w:tcPr>
          <w:tcW w:w="3415" w:type="dxa"/>
          <w:tcMar>
            <w:top w:w="0" w:type="dxa"/>
          </w:tcMar>
        </w:tcPr>
        <w:p w14:paraId="2852BC2E" w14:textId="77777777" w:rsidR="009D5EC2" w:rsidRDefault="009D5EC2">
          <w:pPr>
            <w:pStyle w:val="FooterText"/>
            <w:spacing w:before="40"/>
          </w:pPr>
          <w:r>
            <w:t>V PRIEDAS</w:t>
          </w:r>
        </w:p>
      </w:tc>
      <w:tc>
        <w:tcPr>
          <w:tcW w:w="2799" w:type="dxa"/>
          <w:gridSpan w:val="3"/>
          <w:tcMar>
            <w:top w:w="0" w:type="dxa"/>
          </w:tcMar>
        </w:tcPr>
        <w:p w14:paraId="090A0ADA" w14:textId="77777777" w:rsidR="009D5EC2" w:rsidRDefault="009D5EC2">
          <w:pPr>
            <w:pStyle w:val="FooterText"/>
            <w:spacing w:before="40"/>
            <w:jc w:val="center"/>
          </w:pPr>
          <w:r>
            <w:t>ECOMP.2</w:t>
          </w:r>
        </w:p>
      </w:tc>
      <w:tc>
        <w:tcPr>
          <w:tcW w:w="1427" w:type="dxa"/>
          <w:tcMar>
            <w:top w:w="0" w:type="dxa"/>
          </w:tcMar>
        </w:tcPr>
        <w:p w14:paraId="614F1460" w14:textId="77777777" w:rsidR="009D5EC2" w:rsidRDefault="009D5EC2">
          <w:pPr>
            <w:pStyle w:val="FooterText"/>
            <w:snapToGrid w:val="0"/>
            <w:jc w:val="center"/>
            <w:rPr>
              <w:b/>
              <w:position w:val="-4"/>
              <w:sz w:val="36"/>
            </w:rPr>
          </w:pPr>
        </w:p>
      </w:tc>
      <w:tc>
        <w:tcPr>
          <w:tcW w:w="2093" w:type="dxa"/>
          <w:gridSpan w:val="2"/>
          <w:tcMar>
            <w:top w:w="0" w:type="dxa"/>
          </w:tcMar>
        </w:tcPr>
        <w:p w14:paraId="31CD9625" w14:textId="77777777" w:rsidR="009D5EC2" w:rsidRDefault="009D5EC2">
          <w:pPr>
            <w:pStyle w:val="FooterText"/>
            <w:jc w:val="right"/>
            <w:rPr>
              <w:spacing w:val="-20"/>
              <w:sz w:val="16"/>
            </w:rPr>
          </w:pPr>
          <w:r>
            <w:rPr>
              <w:b/>
              <w:spacing w:val="-20"/>
              <w:position w:val="-4"/>
              <w:sz w:val="36"/>
            </w:rPr>
            <w:t>LT</w:t>
          </w:r>
        </w:p>
      </w:tc>
    </w:tr>
  </w:tbl>
  <w:p w14:paraId="76690449" w14:textId="77777777" w:rsidR="009D5EC2" w:rsidRDefault="009D5EC2">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32BD9" w14:textId="77777777" w:rsidR="00B3076E" w:rsidRDefault="00B3076E">
      <w:pPr>
        <w:spacing w:before="0" w:after="0" w:line="240" w:lineRule="auto"/>
      </w:pPr>
      <w:r>
        <w:separator/>
      </w:r>
    </w:p>
  </w:footnote>
  <w:footnote w:type="continuationSeparator" w:id="0">
    <w:p w14:paraId="7630166B" w14:textId="77777777" w:rsidR="00B3076E" w:rsidRDefault="00B3076E">
      <w:pPr>
        <w:spacing w:before="0" w:after="0" w:line="240" w:lineRule="auto"/>
      </w:pPr>
      <w:r>
        <w:continuationSeparator/>
      </w:r>
    </w:p>
  </w:footnote>
  <w:footnote w:id="1">
    <w:p w14:paraId="38C90168" w14:textId="77777777" w:rsidR="009D5EC2" w:rsidRDefault="009D5EC2">
      <w:pPr>
        <w:pStyle w:val="FootnoteText"/>
        <w:ind w:left="284" w:hanging="284"/>
        <w:jc w:val="both"/>
      </w:pPr>
      <w:r>
        <w:rPr>
          <w:rStyle w:val="FootnoteCharacters"/>
        </w:rPr>
        <w:footnoteRef/>
      </w:r>
      <w:r>
        <w:rPr>
          <w:sz w:val="20"/>
        </w:rPr>
        <w:tab/>
        <w:t>Tai skirstymo pagal intervencinių priemonių srities matmenį kodas, pateikiamas BNR I priedo 1 lentelėje ir EJRŽAF reglamento IV priede.</w:t>
      </w:r>
    </w:p>
  </w:footnote>
  <w:footnote w:id="2">
    <w:p w14:paraId="1247CA3A" w14:textId="77777777" w:rsidR="009D5EC2" w:rsidRDefault="009D5EC2">
      <w:pPr>
        <w:pStyle w:val="FootnoteText"/>
        <w:ind w:left="284" w:hanging="284"/>
        <w:jc w:val="both"/>
      </w:pPr>
      <w:r>
        <w:rPr>
          <w:rStyle w:val="FootnoteCharacters"/>
        </w:rPr>
        <w:footnoteRef/>
      </w:r>
      <w:r>
        <w:rPr>
          <w:sz w:val="20"/>
        </w:rPr>
        <w:tab/>
        <w:t>Tai bendro rodiklio, jei taikytina, kodas.</w:t>
      </w:r>
    </w:p>
  </w:footnote>
  <w:footnote w:id="3">
    <w:p w14:paraId="6725C592" w14:textId="77777777" w:rsidR="009D5EC2" w:rsidRDefault="009D5EC2">
      <w:pPr>
        <w:pStyle w:val="FootnoteText"/>
        <w:ind w:left="0" w:firstLine="0"/>
        <w:jc w:val="both"/>
      </w:pPr>
      <w:r>
        <w:rPr>
          <w:rStyle w:val="FootnoteCharacters"/>
        </w:rPr>
        <w:footnoteRef/>
      </w:r>
      <w:r>
        <w:rPr>
          <w:sz w:val="20"/>
        </w:rPr>
        <w:t xml:space="preserve"> Numatoma veiksmų atrankos pradžios data ir numatoma jų užbaigimo galutinė data (nuoroda – 63 straipsnio 5 dalis).</w:t>
      </w:r>
    </w:p>
  </w:footnote>
  <w:footnote w:id="4">
    <w:p w14:paraId="2F195C37" w14:textId="543EF8E1" w:rsidR="009D5EC2" w:rsidRDefault="009D5EC2" w:rsidP="005D6D34">
      <w:pPr>
        <w:pStyle w:val="FootnoteText"/>
        <w:ind w:left="0" w:hanging="11"/>
      </w:pPr>
      <w:r>
        <w:rPr>
          <w:rStyle w:val="FootnoteCharacters"/>
        </w:rPr>
        <w:footnoteRef/>
      </w:r>
      <w:r>
        <w:t xml:space="preserve"> </w:t>
      </w:r>
      <w:r>
        <w:rPr>
          <w:sz w:val="20"/>
        </w:rPr>
        <w:t>KKI - kūrybinės ir kultūrinės industrijos</w:t>
      </w:r>
      <w:r w:rsidR="003E2FF3">
        <w:rPr>
          <w:sz w:val="20"/>
        </w:rPr>
        <w:t>.</w:t>
      </w:r>
    </w:p>
  </w:footnote>
  <w:footnote w:id="5">
    <w:p w14:paraId="7AF36C37" w14:textId="77777777" w:rsidR="009D5EC2" w:rsidRDefault="009D5EC2">
      <w:pPr>
        <w:pStyle w:val="FootnoteText"/>
        <w:ind w:left="0" w:firstLine="0"/>
      </w:pPr>
      <w:r>
        <w:rPr>
          <w:rStyle w:val="FootnoteCharacters"/>
        </w:rPr>
        <w:footnoteRef/>
      </w:r>
      <w:r>
        <w:t xml:space="preserve"> </w:t>
      </w:r>
      <w:r>
        <w:rPr>
          <w:sz w:val="20"/>
        </w:rPr>
        <w:t xml:space="preserve">Renginys – konferencija, seminaras, susitikimas ir pan., skirtas projekto rezultatų sukūrimui ar viešinimui, vykstantis Lietuvoje. Renginys apima tiek kontaktinės, tiek nuotolinės formos renginius bei hibridiniu būdu vykdomus renginius. Bendrųjų įgūdžių mokymai nėra priskiriami renginio sąvokai.  </w:t>
      </w:r>
    </w:p>
  </w:footnote>
  <w:footnote w:id="6">
    <w:p w14:paraId="678B69B2" w14:textId="0EDEB485" w:rsidR="009D5EC2" w:rsidRDefault="009D5EC2" w:rsidP="005D6D34">
      <w:pPr>
        <w:pStyle w:val="FootnoteText"/>
        <w:ind w:left="0" w:hanging="11"/>
        <w:jc w:val="both"/>
      </w:pPr>
      <w:r>
        <w:rPr>
          <w:rStyle w:val="FootnoteCharacters"/>
        </w:rPr>
        <w:footnoteRef/>
      </w:r>
      <w:r w:rsidR="005D6D34">
        <w:t xml:space="preserve"> </w:t>
      </w:r>
      <w:r>
        <w:rPr>
          <w:sz w:val="20"/>
        </w:rPr>
        <w:t>Tyrime vartojama „Bendrųjų įgūdžių“ sąvoka apima kompetencijas, gebėjimus ir pan. ir atitinka 2018 m. gegužės 22 d. Europos Sąjungos Tarybos Rekomendacijoje dėl bendrųjų mokymosi visą gyvenimą gebėjimų (2018/C 189/01) bei jos priede „</w:t>
      </w:r>
      <w:r>
        <w:rPr>
          <w:i/>
          <w:iCs/>
          <w:sz w:val="20"/>
        </w:rPr>
        <w:t>Bendrosios mokymosi visą gyvenimą kompetencijos Europos orientaciniai metmenys</w:t>
      </w:r>
      <w:r>
        <w:rPr>
          <w:sz w:val="20"/>
        </w:rPr>
        <w:t xml:space="preserve">“ nustatytų bendrųjų kompetencijų sampratą. Šaltinis: </w:t>
      </w:r>
      <w:hyperlink r:id="rId1">
        <w:r>
          <w:rPr>
            <w:rStyle w:val="Hyperlink"/>
            <w:color w:val="000000"/>
            <w:sz w:val="20"/>
          </w:rPr>
          <w:t>2018 m. gegužės 22 d. Tarybos rekomendacija dėl bendrųjų mokymosi visą gyvenimą gebėjimų Tekstas svarbus EEE. (europa.eu)</w:t>
        </w:r>
      </w:hyperlink>
      <w:r>
        <w:rPr>
          <w:rStyle w:val="Hyperlink"/>
          <w:color w:val="000000"/>
          <w:sz w:val="20"/>
        </w:rPr>
        <w:t xml:space="preserve">. </w:t>
      </w:r>
    </w:p>
  </w:footnote>
  <w:footnote w:id="7">
    <w:p w14:paraId="6A62CB45" w14:textId="10C0118F" w:rsidR="009D5EC2" w:rsidRDefault="009D5EC2" w:rsidP="005D6D34">
      <w:pPr>
        <w:pStyle w:val="FootnoteText"/>
        <w:ind w:left="0" w:hanging="11"/>
      </w:pPr>
      <w:r>
        <w:rPr>
          <w:rStyle w:val="FootnoteCharacters"/>
        </w:rPr>
        <w:footnoteRef/>
      </w:r>
      <w:r w:rsidR="005D6D34">
        <w:rPr>
          <w:sz w:val="20"/>
        </w:rPr>
        <w:t xml:space="preserve"> </w:t>
      </w:r>
      <w:r>
        <w:rPr>
          <w:sz w:val="20"/>
        </w:rPr>
        <w:t>Tinkamumo finansuoti laikotarpis</w:t>
      </w:r>
    </w:p>
  </w:footnote>
  <w:footnote w:id="8">
    <w:p w14:paraId="6B1D0EB3" w14:textId="77777777" w:rsidR="009D5EC2" w:rsidRDefault="009D5EC2">
      <w:pPr>
        <w:pStyle w:val="FootnoteText"/>
        <w:ind w:left="0" w:firstLine="0"/>
        <w:jc w:val="both"/>
      </w:pPr>
      <w:r>
        <w:rPr>
          <w:rStyle w:val="FootnoteCharacters"/>
        </w:rPr>
        <w:footnoteRef/>
      </w:r>
      <w:r>
        <w:rPr>
          <w:sz w:val="20"/>
        </w:rPr>
        <w:t xml:space="preserve"> Veiksmų, apimančių kelis supaprastinto išlaidų apmokėjimo būdus, skirtingus projektus ar vienas po kito einančius veiksmo etapus, atveju reikia užpildyti 3–11 laukelius kiekvienam rodikliui, kurį pasiekus išlaidos yra atlyginamos.</w:t>
      </w:r>
    </w:p>
  </w:footnote>
  <w:footnote w:id="9">
    <w:p w14:paraId="54C9D3CD" w14:textId="2B83E919" w:rsidR="009D5EC2" w:rsidRDefault="009D5EC2" w:rsidP="005D6D34">
      <w:pPr>
        <w:pStyle w:val="FootnoteText"/>
        <w:ind w:left="0" w:hanging="11"/>
      </w:pPr>
      <w:r>
        <w:rPr>
          <w:rStyle w:val="FootnoteCharacters"/>
        </w:rPr>
        <w:footnoteRef/>
      </w:r>
      <w:r w:rsidR="005D6D34">
        <w:t xml:space="preserve"> </w:t>
      </w:r>
      <w:r>
        <w:rPr>
          <w:sz w:val="20"/>
        </w:rPr>
        <w:t>Astronominės valandos (1 valanda – 60 min.)</w:t>
      </w:r>
    </w:p>
  </w:footnote>
  <w:footnote w:id="10">
    <w:p w14:paraId="5DCF332B" w14:textId="7E922065" w:rsidR="009D5EC2" w:rsidRDefault="009D5EC2" w:rsidP="005D6D34">
      <w:pPr>
        <w:pStyle w:val="FootnoteText"/>
        <w:ind w:left="0" w:hanging="11"/>
      </w:pPr>
      <w:r>
        <w:rPr>
          <w:rStyle w:val="FootnoteCharacters"/>
        </w:rPr>
        <w:footnoteRef/>
      </w:r>
      <w:r>
        <w:rPr>
          <w:sz w:val="20"/>
        </w:rPr>
        <w:t xml:space="preserve"> Lektorius - ekspertas, konsultantas, pranešėjas, lektorius, užsiėmimo vedėjas ir pan.</w:t>
      </w:r>
    </w:p>
  </w:footnote>
  <w:footnote w:id="11">
    <w:p w14:paraId="70EACE56" w14:textId="77777777" w:rsidR="009D5EC2" w:rsidRDefault="009D5EC2">
      <w:pPr>
        <w:pStyle w:val="FootnoteText"/>
        <w:ind w:left="0" w:firstLine="0"/>
        <w:jc w:val="both"/>
      </w:pPr>
      <w:r>
        <w:rPr>
          <w:rStyle w:val="FootnoteCharacters"/>
        </w:rPr>
        <w:footnoteRef/>
      </w:r>
      <w:r>
        <w:rPr>
          <w:sz w:val="20"/>
        </w:rPr>
        <w:t xml:space="preserve"> Jei taikytina, nurodykite koregavimo dažnumą ir laiką ir pateikite aiškią nuorodą į konkretų rodiklį (įskaitant saitą į interneto svetainę, kurioje šis rodiklis paskelbtas, jei taikytina).</w:t>
      </w:r>
    </w:p>
  </w:footnote>
  <w:footnote w:id="12">
    <w:p w14:paraId="7AFAB1A6" w14:textId="77777777" w:rsidR="009D5EC2" w:rsidRDefault="009D5EC2">
      <w:pPr>
        <w:pStyle w:val="FootnoteText"/>
        <w:ind w:left="0" w:firstLine="0"/>
        <w:jc w:val="both"/>
      </w:pPr>
      <w:r>
        <w:rPr>
          <w:rStyle w:val="FootnoteCharacters"/>
        </w:rPr>
        <w:footnoteRef/>
      </w:r>
      <w:r>
        <w:rPr>
          <w:sz w:val="20"/>
        </w:rPr>
        <w:t xml:space="preserve"> Naudojami naujausi oficialūs statistiniai duomenys: Ūkis ir finansai (makroekonomika), Kainų indeksai, pokyčiai ir kainos, Vartotojų kainų indeksai (VKI), kainų pokyčiai, svoriai, vidutinės kainos. Vartotojų kainų pokyčiai ir įtaka, Vartotojų kainų pokyčiai, apskaičiuoti pagal vartotojų kainų indeksą, Individualaus vartojimo išlaidų pagal paskirtų klasifikatorius (COICOP), „</w:t>
      </w:r>
      <w:r>
        <w:rPr>
          <w:color w:val="242424"/>
          <w:sz w:val="20"/>
          <w:shd w:val="clear" w:color="auto" w:fill="FFFFFF"/>
        </w:rPr>
        <w:t>00 Vartojimo prekės ir paslaugos“</w:t>
      </w:r>
      <w:r>
        <w:rPr>
          <w:sz w:val="20"/>
        </w:rPr>
        <w:t xml:space="preserve"> Lyginimas ,,Su praėjusių metų atitinkamu laikotarpiu“. Šaltinis: </w:t>
      </w:r>
      <w:hyperlink r:id="rId2" w:anchor="/" w:history="1">
        <w:r>
          <w:rPr>
            <w:rStyle w:val="Hyperlink"/>
            <w:color w:val="000000"/>
            <w:sz w:val="20"/>
          </w:rPr>
          <w:t>https://osp.stat.gov.lt/statistiniu-rodikliu-analize#/</w:t>
        </w:r>
      </w:hyperlink>
      <w:r>
        <w:t xml:space="preserve"> </w:t>
      </w:r>
    </w:p>
  </w:footnote>
  <w:footnote w:id="13">
    <w:p w14:paraId="7E7E299B" w14:textId="45136E40" w:rsidR="009D5EC2" w:rsidRDefault="009D5EC2">
      <w:pPr>
        <w:pStyle w:val="FootnoteText"/>
        <w:ind w:left="0" w:firstLine="0"/>
        <w:jc w:val="both"/>
      </w:pPr>
      <w:r>
        <w:rPr>
          <w:rStyle w:val="FootnoteCharacters"/>
        </w:rPr>
        <w:footnoteRef/>
      </w:r>
      <w:r>
        <w:t xml:space="preserve"> </w:t>
      </w:r>
      <w:r>
        <w:rPr>
          <w:sz w:val="20"/>
        </w:rPr>
        <w:t xml:space="preserve">Rengiamas remiantis mokymo (-ų) dalyvių sąrašo pildymo instrukcija, kuri pateikiama Projektų dalyvių informacijos administravimo instrukcijoje, patvirtintoje tarpinstitucinės darbo grupės, sudarytos Lietuvos Respublikos finansų ministro 2021m. birželio 11 d. įsakymu Nr. 1K-219 „Dėl tarpinstitucinės darbo grupės sudarymo“, 2025 m. </w:t>
      </w:r>
      <w:r w:rsidR="00FC5209" w:rsidRPr="00FC5209">
        <w:rPr>
          <w:sz w:val="20"/>
        </w:rPr>
        <w:t>rugpjūčio 29 d.</w:t>
      </w:r>
      <w:r>
        <w:rPr>
          <w:sz w:val="20"/>
        </w:rPr>
        <w:t xml:space="preserve"> posėdžio protokolu Nr. </w:t>
      </w:r>
      <w:r w:rsidR="00FC5209">
        <w:rPr>
          <w:sz w:val="20"/>
        </w:rPr>
        <w:t xml:space="preserve">29 </w:t>
      </w:r>
      <w:r>
        <w:rPr>
          <w:sz w:val="20"/>
        </w:rPr>
        <w:t xml:space="preserve">ir vėlesniuose pakeitimuose Šaltinis: </w:t>
      </w:r>
      <w:hyperlink r:id="rId3">
        <w:r>
          <w:rPr>
            <w:rStyle w:val="Hyperlink"/>
            <w:color w:val="000000"/>
            <w:sz w:val="20"/>
          </w:rPr>
          <w:t>https://www.esinvesticijos.lt/dokumentai/projekto-dalyviu-informacijos-administravimo-instrukcija</w:t>
        </w:r>
      </w:hyperlink>
    </w:p>
  </w:footnote>
  <w:footnote w:id="14">
    <w:p w14:paraId="490F2CB3" w14:textId="77777777" w:rsidR="009D5EC2" w:rsidRDefault="009D5EC2">
      <w:pPr>
        <w:pStyle w:val="FootnoteText"/>
        <w:ind w:left="0" w:firstLine="0"/>
        <w:contextualSpacing/>
        <w:jc w:val="both"/>
      </w:pPr>
      <w:r>
        <w:rPr>
          <w:rStyle w:val="FootnoteCharacters"/>
        </w:rPr>
        <w:footnoteRef/>
      </w:r>
      <w:r>
        <w:rPr>
          <w:b/>
          <w:bCs/>
          <w:sz w:val="20"/>
        </w:rPr>
        <w:t xml:space="preserve"> </w:t>
      </w:r>
      <w:r>
        <w:rPr>
          <w:b/>
          <w:bCs/>
        </w:rPr>
        <w:t xml:space="preserve"> </w:t>
      </w:r>
      <w:r>
        <w:rPr>
          <w:sz w:val="20"/>
        </w:rPr>
        <w:t xml:space="preserve">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yra mokėjimo prašymas. Šaltinis: </w:t>
      </w:r>
      <w:hyperlink r:id="rId4">
        <w:r>
          <w:rPr>
            <w:rStyle w:val="Hyperlink"/>
            <w:color w:val="000000"/>
            <w:sz w:val="20"/>
          </w:rPr>
          <w:t>https://www.e-tar.lt/portal/lt/legalAct/14e33320f1ed11ec8fa7d02a65c371ad</w:t>
        </w:r>
      </w:hyperlink>
    </w:p>
  </w:footnote>
  <w:footnote w:id="15">
    <w:p w14:paraId="66329F93" w14:textId="77777777" w:rsidR="009D5EC2" w:rsidRDefault="009D5EC2">
      <w:pPr>
        <w:pStyle w:val="FootnoteText"/>
        <w:ind w:left="0" w:firstLine="0"/>
        <w:jc w:val="both"/>
      </w:pPr>
      <w:r>
        <w:rPr>
          <w:rStyle w:val="FootnoteCharacters"/>
        </w:rPr>
        <w:footnoteRef/>
      </w:r>
      <w:r>
        <w:rPr>
          <w:sz w:val="20"/>
        </w:rPr>
        <w:t xml:space="preserve">  Ar yra kokių nors galimų neigiamų pasekmių remiamų veiksmų kokybei ir, jei taip, kokių priemonių (pvz., kokybės užtikrinimo) bus imtasi šiai rizikai kompensuoti?</w:t>
      </w:r>
    </w:p>
  </w:footnote>
  <w:footnote w:id="16">
    <w:p w14:paraId="3F20AE5B" w14:textId="15796153" w:rsidR="009D5EC2" w:rsidRDefault="009D5EC2">
      <w:pPr>
        <w:pStyle w:val="FootnoteText"/>
      </w:pPr>
      <w:r>
        <w:rPr>
          <w:rStyle w:val="FootnoteCharacters"/>
        </w:rPr>
        <w:footnoteRef/>
      </w:r>
      <w:r>
        <w:t xml:space="preserve"> </w:t>
      </w:r>
      <w:r>
        <w:rPr>
          <w:sz w:val="20"/>
        </w:rPr>
        <w:t>Šaltinis:</w:t>
      </w:r>
      <w:r>
        <w:t xml:space="preserve"> </w:t>
      </w:r>
      <w:hyperlink r:id="rId5">
        <w:r>
          <w:rPr>
            <w:rStyle w:val="Hyperlink"/>
            <w:color w:val="000000"/>
            <w:sz w:val="20"/>
          </w:rPr>
          <w:t>Dokumentai | 2014-2020 Europos Sąjungos fondų investicijos Lietuvoje (esinvesticijos.lt)</w:t>
        </w:r>
      </w:hyperlink>
    </w:p>
  </w:footnote>
  <w:footnote w:id="17">
    <w:p w14:paraId="63CDBEBC" w14:textId="6C9758FC" w:rsidR="009D5EC2" w:rsidRDefault="009D5EC2">
      <w:pPr>
        <w:pStyle w:val="FootnoteText"/>
        <w:ind w:left="0" w:hanging="11"/>
        <w:jc w:val="both"/>
      </w:pPr>
      <w:r>
        <w:rPr>
          <w:rStyle w:val="FootnoteCharacters"/>
        </w:rPr>
        <w:footnoteRef/>
      </w:r>
      <w:r>
        <w:rPr>
          <w:sz w:val="20"/>
        </w:rPr>
        <w:t xml:space="preserve"> EK 2016 m. gruodžio 5–16 d. atlikto 2014–2020 metų Europos Sąjungos fondų investicijų veiksmų programos jungtinio audito Nr. REGC2214LT0049 metu pateiktas pastebėjimas Nr. 18.</w:t>
      </w:r>
    </w:p>
  </w:footnote>
  <w:footnote w:id="18">
    <w:p w14:paraId="671B1ECA" w14:textId="053D9F5B" w:rsidR="009D5EC2" w:rsidRDefault="009D5EC2">
      <w:pPr>
        <w:pStyle w:val="FootnoteText"/>
        <w:ind w:left="0" w:hanging="11"/>
        <w:jc w:val="both"/>
      </w:pPr>
      <w:r>
        <w:rPr>
          <w:rStyle w:val="FootnoteCharacters"/>
        </w:rPr>
        <w:footnoteRef/>
      </w:r>
      <w:r>
        <w:rPr>
          <w:sz w:val="20"/>
        </w:rPr>
        <w:t xml:space="preserve"> 2021 m. gegužės 19 d. Projektų, kuriuose taikyti Bendrųjų įgūdžių mokymo fiksuotojo įkainio nustatymo tyrimo ataskaitoje nustatyti bendrųjų įgūdžių mokymo išlaidų fiksuotieji įkainiai, analizės ataskaita ir Projektų, kuriuose taikyti Renginio organizavimo fiksuotojo įkainio nustatymo tyrimo ataskaitoje nustatyti renginio organizavimo fiksuotieji įkainiai, analizės ataskaita.</w:t>
      </w:r>
    </w:p>
  </w:footnote>
  <w:footnote w:id="19">
    <w:p w14:paraId="16792C30" w14:textId="28171770" w:rsidR="009D5EC2" w:rsidRDefault="009D5EC2">
      <w:pPr>
        <w:pStyle w:val="FootnoteText"/>
        <w:ind w:left="0" w:hanging="11"/>
        <w:jc w:val="both"/>
      </w:pPr>
      <w:r>
        <w:rPr>
          <w:rStyle w:val="FootnoteCharacters"/>
        </w:rPr>
        <w:footnoteRef/>
      </w:r>
      <w:r>
        <w:rPr>
          <w:sz w:val="20"/>
        </w:rPr>
        <w:t xml:space="preserve"> Lietuvos Respublikos finansų ministerijos 2023-11-13 raštas Nr. 6K-23/7187, siųstas VšĮ Europos socialinio fondo agentūrai.</w:t>
      </w:r>
    </w:p>
  </w:footnote>
  <w:footnote w:id="20">
    <w:p w14:paraId="41A0EA21" w14:textId="18EAF211" w:rsidR="009D5EC2" w:rsidRDefault="009D5EC2">
      <w:pPr>
        <w:pStyle w:val="FootnoteText"/>
      </w:pPr>
      <w:r>
        <w:rPr>
          <w:rStyle w:val="FootnoteCharacters"/>
        </w:rPr>
        <w:footnoteRef/>
      </w:r>
      <w:r>
        <w:t xml:space="preserve"> </w:t>
      </w:r>
      <w:r>
        <w:rPr>
          <w:sz w:val="20"/>
        </w:rPr>
        <w:t xml:space="preserve">Šaltinis: </w:t>
      </w:r>
      <w:hyperlink r:id="rId6">
        <w:r>
          <w:rPr>
            <w:rStyle w:val="Hyperlink"/>
            <w:color w:val="000000"/>
            <w:sz w:val="20"/>
          </w:rPr>
          <w:t>Dokumentai | 2014-2020 Europos Sąjungos fondų investicijos Lietuvoje (esinvesticijos.lt)</w:t>
        </w:r>
      </w:hyperlink>
    </w:p>
  </w:footnote>
  <w:footnote w:id="21">
    <w:p w14:paraId="5542D2C6" w14:textId="08552981" w:rsidR="009D5EC2" w:rsidRDefault="009D5EC2">
      <w:pPr>
        <w:pStyle w:val="FootnoteText"/>
      </w:pPr>
      <w:r>
        <w:rPr>
          <w:rStyle w:val="FootnoteCharacters"/>
        </w:rPr>
        <w:footnoteRef/>
      </w:r>
      <w:r>
        <w:t xml:space="preserve"> </w:t>
      </w:r>
      <w:r>
        <w:rPr>
          <w:sz w:val="20"/>
        </w:rPr>
        <w:t xml:space="preserve">Šaltinis: </w:t>
      </w:r>
      <w:hyperlink r:id="rId7">
        <w:r>
          <w:rPr>
            <w:rStyle w:val="Hyperlink"/>
            <w:color w:val="000000"/>
            <w:sz w:val="20"/>
          </w:rPr>
          <w:t>Dokumentai | 2014-2020 Europos Sąjungos fondų investicijos Lietuvoje</w:t>
        </w:r>
      </w:hyperlink>
    </w:p>
  </w:footnote>
  <w:footnote w:id="22">
    <w:p w14:paraId="7F9CC726" w14:textId="4625FD99" w:rsidR="009D5EC2" w:rsidRDefault="009D5EC2">
      <w:pPr>
        <w:pStyle w:val="FootnoteText"/>
      </w:pPr>
      <w:r>
        <w:rPr>
          <w:rStyle w:val="FootnoteCharacters"/>
        </w:rPr>
        <w:footnoteRef/>
      </w:r>
      <w:r>
        <w:t xml:space="preserve"> </w:t>
      </w:r>
      <w:r>
        <w:rPr>
          <w:sz w:val="20"/>
        </w:rPr>
        <w:t xml:space="preserve">Šaltinis: </w:t>
      </w:r>
      <w:hyperlink r:id="rId8">
        <w:r>
          <w:rPr>
            <w:rStyle w:val="Hyperlink"/>
            <w:color w:val="000000"/>
            <w:sz w:val="20"/>
          </w:rPr>
          <w:t>Dokumentai | 2014-2020 Europos Sąjungos fondų investicijos Lietuvoje</w:t>
        </w:r>
      </w:hyperlink>
    </w:p>
  </w:footnote>
  <w:footnote w:id="23">
    <w:p w14:paraId="3C90F91C" w14:textId="3A7EB837" w:rsidR="009D5EC2" w:rsidRDefault="009D5EC2">
      <w:pPr>
        <w:pStyle w:val="FootnoteText"/>
      </w:pPr>
      <w:r>
        <w:rPr>
          <w:rStyle w:val="FootnoteCharacters"/>
        </w:rPr>
        <w:footnoteRef/>
      </w:r>
      <w:r>
        <w:t xml:space="preserve"> </w:t>
      </w:r>
      <w:r>
        <w:rPr>
          <w:sz w:val="20"/>
        </w:rPr>
        <w:t xml:space="preserve">Ūkis ir finansai (makroekonomika). Kainų indeksai, pokyčiai ir kainos. Vartotojų kainų indeksai (VKI), kainų pokyčiai, svoriai, vidutinės kainos. Vartotojų kainų indeksai. Vartotojų kainų indeksai (2015 m. – 100). Individualaus vartojimo išlaidų pagal paskirtį klasifikatorius (COICOP) „00 Vartojimo prekės ir paslaugos“. Šaltinis: </w:t>
      </w:r>
      <w:hyperlink r:id="rId9" w:anchor="/" w:history="1">
        <w:r>
          <w:rPr>
            <w:rStyle w:val="Hyperlink"/>
            <w:color w:val="000000"/>
            <w:sz w:val="20"/>
          </w:rPr>
          <w:t>https://osp.stat.gov.lt/statistiniu-rodikliu-analize#/</w:t>
        </w:r>
      </w:hyperlink>
      <w:r>
        <w:t xml:space="preserve"> </w:t>
      </w:r>
    </w:p>
    <w:p w14:paraId="20B18E33" w14:textId="77777777" w:rsidR="009D5EC2" w:rsidRDefault="009D5E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60938"/>
    <w:multiLevelType w:val="multilevel"/>
    <w:tmpl w:val="B9162CB4"/>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B6683B"/>
    <w:multiLevelType w:val="multilevel"/>
    <w:tmpl w:val="BB0A1C5C"/>
    <w:lvl w:ilvl="0">
      <w:start w:val="1"/>
      <w:numFmt w:val="bullet"/>
      <w:lvlText w:val=""/>
      <w:lvlJc w:val="left"/>
      <w:pPr>
        <w:tabs>
          <w:tab w:val="num" w:pos="0"/>
        </w:tabs>
        <w:ind w:left="1004"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857797"/>
    <w:multiLevelType w:val="multilevel"/>
    <w:tmpl w:val="76A4D0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C0F16CC"/>
    <w:multiLevelType w:val="multilevel"/>
    <w:tmpl w:val="84426C34"/>
    <w:lvl w:ilvl="0">
      <w:start w:val="1"/>
      <w:numFmt w:val="lowerLetter"/>
      <w:lvlText w:val="%1)"/>
      <w:lvlJc w:val="left"/>
      <w:pPr>
        <w:tabs>
          <w:tab w:val="num" w:pos="0"/>
        </w:tabs>
        <w:ind w:left="1440"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E47E54"/>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6654D6"/>
    <w:multiLevelType w:val="multilevel"/>
    <w:tmpl w:val="A822B64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B30E42"/>
    <w:multiLevelType w:val="multilevel"/>
    <w:tmpl w:val="42762752"/>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D8512C"/>
    <w:multiLevelType w:val="hybridMultilevel"/>
    <w:tmpl w:val="D4E01C3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58684AD5"/>
    <w:multiLevelType w:val="multilevel"/>
    <w:tmpl w:val="05EEB9A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0A667CD"/>
    <w:multiLevelType w:val="multilevel"/>
    <w:tmpl w:val="060C7B9E"/>
    <w:lvl w:ilvl="0">
      <w:start w:val="1"/>
      <w:numFmt w:val="bullet"/>
      <w:lvlText w:val="-"/>
      <w:lvlJc w:val="left"/>
      <w:pPr>
        <w:tabs>
          <w:tab w:val="num" w:pos="0"/>
        </w:tabs>
        <w:ind w:left="961"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720193"/>
    <w:multiLevelType w:val="multilevel"/>
    <w:tmpl w:val="1802720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8B7FCB"/>
    <w:multiLevelType w:val="multilevel"/>
    <w:tmpl w:val="B49C43E0"/>
    <w:lvl w:ilvl="0">
      <w:start w:val="1"/>
      <w:numFmt w:val="bullet"/>
      <w:lvlText w:val=""/>
      <w:lvlJc w:val="left"/>
      <w:pPr>
        <w:tabs>
          <w:tab w:val="num" w:pos="0"/>
        </w:tabs>
        <w:ind w:left="117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80627996">
    <w:abstractNumId w:val="5"/>
  </w:num>
  <w:num w:numId="2" w16cid:durableId="1554849891">
    <w:abstractNumId w:val="1"/>
  </w:num>
  <w:num w:numId="3" w16cid:durableId="1166744264">
    <w:abstractNumId w:val="11"/>
  </w:num>
  <w:num w:numId="4" w16cid:durableId="1660814474">
    <w:abstractNumId w:val="9"/>
  </w:num>
  <w:num w:numId="5" w16cid:durableId="1355156010">
    <w:abstractNumId w:val="6"/>
  </w:num>
  <w:num w:numId="6" w16cid:durableId="2092458687">
    <w:abstractNumId w:val="10"/>
  </w:num>
  <w:num w:numId="7" w16cid:durableId="1880167264">
    <w:abstractNumId w:val="3"/>
  </w:num>
  <w:num w:numId="8" w16cid:durableId="1221095029">
    <w:abstractNumId w:val="8"/>
  </w:num>
  <w:num w:numId="9" w16cid:durableId="1121025183">
    <w:abstractNumId w:val="0"/>
  </w:num>
  <w:num w:numId="10" w16cid:durableId="1592620988">
    <w:abstractNumId w:val="2"/>
  </w:num>
  <w:num w:numId="11" w16cid:durableId="2032032083">
    <w:abstractNumId w:val="10"/>
    <w:lvlOverride w:ilvl="0">
      <w:startOverride w:val="1"/>
    </w:lvlOverride>
  </w:num>
  <w:num w:numId="12" w16cid:durableId="1341350693">
    <w:abstractNumId w:val="7"/>
  </w:num>
  <w:num w:numId="13" w16cid:durableId="11226525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85"/>
    <w:rsid w:val="00012C72"/>
    <w:rsid w:val="00013E26"/>
    <w:rsid w:val="00055FB1"/>
    <w:rsid w:val="00062DFB"/>
    <w:rsid w:val="00067EC6"/>
    <w:rsid w:val="000A62DB"/>
    <w:rsid w:val="00113F2D"/>
    <w:rsid w:val="00151370"/>
    <w:rsid w:val="001B5CBB"/>
    <w:rsid w:val="00232855"/>
    <w:rsid w:val="002B2850"/>
    <w:rsid w:val="00335499"/>
    <w:rsid w:val="003C6870"/>
    <w:rsid w:val="003C7329"/>
    <w:rsid w:val="003E2FF3"/>
    <w:rsid w:val="003E5790"/>
    <w:rsid w:val="003F4AFA"/>
    <w:rsid w:val="00522DBB"/>
    <w:rsid w:val="0053522F"/>
    <w:rsid w:val="005A01EE"/>
    <w:rsid w:val="005B6C7A"/>
    <w:rsid w:val="005C50B6"/>
    <w:rsid w:val="005D6D34"/>
    <w:rsid w:val="005E509A"/>
    <w:rsid w:val="006F7605"/>
    <w:rsid w:val="007557AC"/>
    <w:rsid w:val="00764BBD"/>
    <w:rsid w:val="007E7560"/>
    <w:rsid w:val="00834BA1"/>
    <w:rsid w:val="008533A5"/>
    <w:rsid w:val="00910905"/>
    <w:rsid w:val="00923506"/>
    <w:rsid w:val="009D5EC2"/>
    <w:rsid w:val="009D72A5"/>
    <w:rsid w:val="009F34F3"/>
    <w:rsid w:val="00A57B85"/>
    <w:rsid w:val="00A638A2"/>
    <w:rsid w:val="00B3076E"/>
    <w:rsid w:val="00B50621"/>
    <w:rsid w:val="00B7450A"/>
    <w:rsid w:val="00BC4C8E"/>
    <w:rsid w:val="00C10A90"/>
    <w:rsid w:val="00C32368"/>
    <w:rsid w:val="00C7157C"/>
    <w:rsid w:val="00C851C2"/>
    <w:rsid w:val="00CC0CB0"/>
    <w:rsid w:val="00D14881"/>
    <w:rsid w:val="00D97931"/>
    <w:rsid w:val="00DE0521"/>
    <w:rsid w:val="00DE4081"/>
    <w:rsid w:val="00E06F02"/>
    <w:rsid w:val="00E82DF5"/>
    <w:rsid w:val="00EF572E"/>
    <w:rsid w:val="00FC52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F3C58"/>
  <w15:docId w15:val="{26599361-8AA2-42DB-9E08-205E42589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360" w:lineRule="auto"/>
    </w:pPr>
    <w:rPr>
      <w:rFonts w:ascii="Times New Roman" w:eastAsia="Calibri" w:hAnsi="Times New Roman" w:cs="Times New Roman"/>
      <w:szCs w:val="22"/>
      <w:lang w:val="lt-LT"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20z0">
    <w:name w:val="WW8Num20z0"/>
    <w:qFormat/>
    <w:rPr>
      <w:rFonts w:ascii="Times New Roman" w:eastAsia="Calibri"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b/>
    </w:rPr>
  </w:style>
  <w:style w:type="character" w:customStyle="1" w:styleId="WW8Num22z0">
    <w:name w:val="WW8Num22z0"/>
    <w:qFormat/>
  </w:style>
  <w:style w:type="character" w:customStyle="1" w:styleId="WW8Num31z0">
    <w:name w:val="WW8Num31z0"/>
    <w:qFormat/>
    <w:rPr>
      <w:i w:val="0"/>
    </w:rPr>
  </w:style>
  <w:style w:type="character" w:customStyle="1" w:styleId="Numatytasispastraiposriftas">
    <w:name w:val="Numatytasis pastraipos šriftas"/>
    <w:qFormat/>
  </w:style>
  <w:style w:type="character" w:customStyle="1" w:styleId="AntratsDiagrama">
    <w:name w:val="Antraštės Diagrama"/>
    <w:qFormat/>
    <w:rPr>
      <w:rFonts w:ascii="Times New Roman" w:hAnsi="Times New Roman" w:cs="Times New Roman"/>
      <w:sz w:val="24"/>
    </w:rPr>
  </w:style>
  <w:style w:type="character" w:customStyle="1" w:styleId="PuslapioinaostekstasDiagrama">
    <w:name w:val="Puslapio išnašos tekstas Diagrama"/>
    <w:qFormat/>
    <w:rPr>
      <w:rFonts w:ascii="Times New Roman" w:hAnsi="Times New Roman" w:cs="Times New Roman"/>
      <w:sz w:val="24"/>
      <w:szCs w:val="20"/>
    </w:rPr>
  </w:style>
  <w:style w:type="character" w:customStyle="1" w:styleId="FootnoteCharacters">
    <w:name w:val="Footnote Characters"/>
    <w:qFormat/>
    <w:rPr>
      <w:b/>
      <w:shd w:val="clear" w:color="auto" w:fill="auto"/>
      <w:vertAlign w:val="superscript"/>
    </w:rPr>
  </w:style>
  <w:style w:type="character" w:customStyle="1" w:styleId="FooterCouncilChar">
    <w:name w:val="Footer Council Char"/>
    <w:qFormat/>
    <w:rPr>
      <w:rFonts w:ascii="Times New Roman" w:hAnsi="Times New Roman" w:cs="Times New Roman"/>
      <w:sz w:val="2"/>
    </w:rPr>
  </w:style>
  <w:style w:type="character" w:customStyle="1" w:styleId="PoratDiagrama">
    <w:name w:val="Poraštė Diagrama"/>
    <w:qFormat/>
    <w:rPr>
      <w:rFonts w:ascii="Times New Roman" w:hAnsi="Times New Roman" w:cs="Times New Roman"/>
      <w:sz w:val="24"/>
    </w:rPr>
  </w:style>
  <w:style w:type="character" w:customStyle="1" w:styleId="Komentaronuoroda">
    <w:name w:val="Komentaro nuoroda"/>
    <w:qFormat/>
    <w:rPr>
      <w:sz w:val="16"/>
      <w:szCs w:val="16"/>
    </w:rPr>
  </w:style>
  <w:style w:type="character" w:customStyle="1" w:styleId="KomentarotekstasDiagrama">
    <w:name w:val="Komentaro tekstas Diagrama"/>
    <w:qFormat/>
    <w:rPr>
      <w:rFonts w:ascii="Times New Roman" w:hAnsi="Times New Roman" w:cs="Times New Roman"/>
      <w:sz w:val="20"/>
      <w:szCs w:val="20"/>
    </w:rPr>
  </w:style>
  <w:style w:type="character" w:customStyle="1" w:styleId="KomentarotemaDiagrama">
    <w:name w:val="Komentaro tema Diagrama"/>
    <w:qFormat/>
    <w:rPr>
      <w:rFonts w:ascii="Times New Roman" w:hAnsi="Times New Roman" w:cs="Times New Roman"/>
      <w:b/>
      <w:bCs/>
      <w:sz w:val="20"/>
      <w:szCs w:val="20"/>
    </w:rPr>
  </w:style>
  <w:style w:type="character" w:styleId="Hyperlink">
    <w:name w:val="Hyperlink"/>
    <w:rPr>
      <w:color w:val="0563C1"/>
      <w:u w:val="single"/>
    </w:rPr>
  </w:style>
  <w:style w:type="character" w:customStyle="1" w:styleId="UnresolvedMention1">
    <w:name w:val="Unresolved Mention1"/>
    <w:qFormat/>
    <w:rPr>
      <w:color w:val="605E5C"/>
      <w:shd w:val="clear" w:color="auto" w:fill="E1DFDD"/>
    </w:rPr>
  </w:style>
  <w:style w:type="character" w:styleId="FollowedHyperlink">
    <w:name w:val="FollowedHyperlink"/>
    <w:rPr>
      <w:color w:val="954F72"/>
      <w:u w:val="single"/>
    </w:rPr>
  </w:style>
  <w:style w:type="character" w:customStyle="1" w:styleId="DebesliotekstasDiagrama">
    <w:name w:val="Debesėlio tekstas Diagrama"/>
    <w:qFormat/>
    <w:rPr>
      <w:rFonts w:ascii="Tahoma" w:hAnsi="Tahoma" w:cs="Tahoma"/>
      <w:sz w:val="16"/>
      <w:szCs w:val="16"/>
    </w:rPr>
  </w:style>
  <w:style w:type="character" w:customStyle="1" w:styleId="DokumentoinaostekstasDiagrama">
    <w:name w:val="Dokumento išnašos tekstas Diagrama"/>
    <w:qFormat/>
    <w:rPr>
      <w:rFonts w:ascii="Times New Roman" w:hAnsi="Times New Roman" w:cs="Times New Roman"/>
      <w:sz w:val="20"/>
      <w:szCs w:val="20"/>
    </w:rPr>
  </w:style>
  <w:style w:type="character" w:customStyle="1" w:styleId="EndnoteCharacters">
    <w:name w:val="Endnote Characters"/>
    <w:qFormat/>
    <w:rPr>
      <w:vertAlign w:val="superscript"/>
    </w:rPr>
  </w:style>
  <w:style w:type="character" w:customStyle="1" w:styleId="UnresolvedMention2">
    <w:name w:val="Unresolved Mention2"/>
    <w:qFormat/>
    <w:rPr>
      <w:color w:val="605E5C"/>
      <w:shd w:val="clear" w:color="auto" w:fill="E1DFDD"/>
    </w:rPr>
  </w:style>
  <w:style w:type="character" w:customStyle="1" w:styleId="cf01">
    <w:name w:val="cf01"/>
    <w:qFormat/>
    <w:rPr>
      <w:rFonts w:ascii="Segoe UI" w:hAnsi="Segoe UI" w:cs="Segoe UI"/>
      <w:sz w:val="18"/>
      <w:szCs w:val="18"/>
    </w:rPr>
  </w:style>
  <w:style w:type="character" w:customStyle="1" w:styleId="UnresolvedMention3">
    <w:name w:val="Unresolved Mention3"/>
    <w:qFormat/>
    <w:rPr>
      <w:color w:val="605E5C"/>
      <w:shd w:val="clear" w:color="auto" w:fill="E1DFDD"/>
    </w:rPr>
  </w:style>
  <w:style w:type="character" w:customStyle="1" w:styleId="Neapdorotaspaminjimas1">
    <w:name w:val="Neapdorotas paminėjimas1"/>
    <w:qFormat/>
    <w:rPr>
      <w:color w:val="605E5C"/>
      <w:shd w:val="clear" w:color="auto" w:fill="E1DFDD"/>
    </w:rPr>
  </w:style>
  <w:style w:type="character" w:customStyle="1" w:styleId="HTMLiankstoformatuotasDiagrama">
    <w:name w:val="HTML iš anksto formatuotas Diagrama"/>
    <w:qFormat/>
    <w:rPr>
      <w:rFonts w:ascii="Courier New" w:eastAsia="Times New Roman" w:hAnsi="Courier New" w:cs="Courier New"/>
      <w:sz w:val="20"/>
      <w:szCs w:val="20"/>
    </w:rPr>
  </w:style>
  <w:style w:type="character" w:customStyle="1" w:styleId="y2iqfc">
    <w:name w:val="y2iqfc"/>
    <w:basedOn w:val="Numatytasispastraiposriftas"/>
    <w:qFormat/>
  </w:style>
  <w:style w:type="character" w:customStyle="1" w:styleId="oj-super">
    <w:name w:val="oj-super"/>
    <w:basedOn w:val="Numatytasispastraiposriftas"/>
    <w:qFormat/>
  </w:style>
  <w:style w:type="character" w:customStyle="1" w:styleId="StrongEmphasis">
    <w:name w:val="Strong Emphasis"/>
    <w:qFormat/>
    <w:rPr>
      <w:b/>
      <w:bCs/>
    </w:rPr>
  </w:style>
  <w:style w:type="character" w:customStyle="1" w:styleId="Neapdorotaspaminjimas2">
    <w:name w:val="Neapdorotas paminėjimas2"/>
    <w:qFormat/>
    <w:rPr>
      <w:color w:val="605E5C"/>
      <w:shd w:val="clear" w:color="auto" w:fill="E1DFDD"/>
    </w:rPr>
  </w:style>
  <w:style w:type="character" w:customStyle="1" w:styleId="SraopastraipaDiagrama">
    <w:name w:val="Sąrašo pastraipa Diagrama"/>
    <w:qFormat/>
    <w:rPr>
      <w:rFonts w:ascii="Times New Roman" w:hAnsi="Times New Roman" w:cs="Times New Roman"/>
      <w:sz w:val="24"/>
    </w:rPr>
  </w:style>
  <w:style w:type="character" w:customStyle="1" w:styleId="Vietosrezervavimoenklotekstas">
    <w:name w:val="Vietos rezervavimo ženklo tekstas"/>
    <w:qFormat/>
    <w:rPr>
      <w:color w:val="808080"/>
    </w:rPr>
  </w:style>
  <w:style w:type="character" w:customStyle="1" w:styleId="ui-provider">
    <w:name w:val="ui-provider"/>
    <w:basedOn w:val="Numatytasispastraiposriftas"/>
    <w:qFormat/>
  </w:style>
  <w:style w:type="character" w:customStyle="1" w:styleId="Neapdorotaspaminjimas">
    <w:name w:val="Neapdorotas paminėjimas"/>
    <w:qFormat/>
    <w:rPr>
      <w:color w:val="605E5C"/>
      <w:shd w:val="clear" w:color="auto" w:fill="E1DFDD"/>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qFormat/>
    <w:pPr>
      <w:suppressLineNumbers/>
    </w:pPr>
    <w:rPr>
      <w:rFonts w:cs="Arial"/>
      <w:i/>
      <w:iCs/>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style>
  <w:style w:type="paragraph" w:styleId="FootnoteText">
    <w:name w:val="footnote text"/>
    <w:basedOn w:val="Normal"/>
    <w:pPr>
      <w:spacing w:before="0" w:after="0" w:line="240" w:lineRule="auto"/>
      <w:ind w:left="720" w:hanging="720"/>
    </w:pPr>
    <w:rPr>
      <w:szCs w:val="20"/>
    </w:rPr>
  </w:style>
  <w:style w:type="paragraph" w:customStyle="1" w:styleId="NormalCentered">
    <w:name w:val="Normal Centered"/>
    <w:basedOn w:val="Normal"/>
    <w:qFormat/>
    <w:pPr>
      <w:spacing w:before="200"/>
      <w:jc w:val="center"/>
    </w:pPr>
  </w:style>
  <w:style w:type="paragraph" w:customStyle="1" w:styleId="NormalRight">
    <w:name w:val="Normal Right"/>
    <w:basedOn w:val="Normal"/>
    <w:qFormat/>
    <w:pPr>
      <w:spacing w:before="200"/>
      <w:jc w:val="right"/>
    </w:pPr>
  </w:style>
  <w:style w:type="paragraph" w:customStyle="1" w:styleId="FooterCouncil">
    <w:name w:val="Footer Council"/>
    <w:basedOn w:val="Normal"/>
    <w:qFormat/>
    <w:pPr>
      <w:spacing w:before="0" w:after="0" w:line="240" w:lineRule="auto"/>
    </w:pPr>
    <w:rPr>
      <w:sz w:val="2"/>
    </w:rPr>
  </w:style>
  <w:style w:type="paragraph" w:customStyle="1" w:styleId="FooterText">
    <w:name w:val="Footer Text"/>
    <w:basedOn w:val="Normal"/>
    <w:qFormat/>
    <w:pPr>
      <w:spacing w:before="0" w:after="0" w:line="240" w:lineRule="auto"/>
    </w:pPr>
    <w:rPr>
      <w:rFonts w:eastAsia="Times New Roman"/>
      <w:szCs w:val="24"/>
    </w:rPr>
  </w:style>
  <w:style w:type="paragraph" w:customStyle="1" w:styleId="Point0">
    <w:name w:val="Point 0"/>
    <w:basedOn w:val="Normal"/>
    <w:qFormat/>
    <w:pPr>
      <w:ind w:left="850" w:hanging="850"/>
    </w:pPr>
  </w:style>
  <w:style w:type="paragraph" w:styleId="Footer">
    <w:name w:val="footer"/>
    <w:basedOn w:val="Normal"/>
    <w:pPr>
      <w:spacing w:before="0" w:after="0" w:line="240" w:lineRule="auto"/>
    </w:pPr>
  </w:style>
  <w:style w:type="paragraph" w:customStyle="1" w:styleId="Komentarotekstas">
    <w:name w:val="Komentaro tekstas"/>
    <w:basedOn w:val="Normal"/>
    <w:qFormat/>
    <w:pPr>
      <w:spacing w:line="240" w:lineRule="auto"/>
    </w:pPr>
    <w:rPr>
      <w:sz w:val="20"/>
      <w:szCs w:val="20"/>
    </w:rPr>
  </w:style>
  <w:style w:type="paragraph" w:customStyle="1" w:styleId="Komentarotema">
    <w:name w:val="Komentaro tema"/>
    <w:basedOn w:val="Komentarotekstas"/>
    <w:next w:val="Komentarotekstas"/>
    <w:qFormat/>
    <w:rPr>
      <w:b/>
      <w:bCs/>
    </w:rPr>
  </w:style>
  <w:style w:type="paragraph" w:customStyle="1" w:styleId="Default">
    <w:name w:val="Default"/>
    <w:qFormat/>
    <w:pPr>
      <w:autoSpaceDE w:val="0"/>
    </w:pPr>
    <w:rPr>
      <w:rFonts w:ascii="Calibri" w:eastAsia="Calibri" w:hAnsi="Calibri" w:cs="Calibri"/>
      <w:color w:val="000000"/>
      <w:lang w:val="lt-LT" w:bidi="ar-SA"/>
    </w:rPr>
  </w:style>
  <w:style w:type="paragraph" w:customStyle="1" w:styleId="Debesliotekstas">
    <w:name w:val="Debesėlio tekstas"/>
    <w:basedOn w:val="Normal"/>
    <w:qFormat/>
    <w:pPr>
      <w:spacing w:before="0" w:after="0" w:line="240" w:lineRule="auto"/>
    </w:pPr>
    <w:rPr>
      <w:rFonts w:ascii="Tahoma" w:hAnsi="Tahoma" w:cs="Tahoma"/>
      <w:sz w:val="16"/>
      <w:szCs w:val="16"/>
    </w:rPr>
  </w:style>
  <w:style w:type="paragraph" w:customStyle="1" w:styleId="Pataisymai">
    <w:name w:val="Pataisymai"/>
    <w:qFormat/>
    <w:rPr>
      <w:rFonts w:ascii="Times New Roman" w:eastAsia="Calibri" w:hAnsi="Times New Roman" w:cs="Times New Roman"/>
      <w:szCs w:val="22"/>
      <w:lang w:val="lt-LT" w:bidi="ar-SA"/>
    </w:rPr>
  </w:style>
  <w:style w:type="paragraph" w:customStyle="1" w:styleId="Sraopastraipa">
    <w:name w:val="Sąrašo pastraipa"/>
    <w:basedOn w:val="Normal"/>
    <w:qFormat/>
    <w:pPr>
      <w:ind w:left="720"/>
      <w:contextualSpacing/>
    </w:pPr>
  </w:style>
  <w:style w:type="paragraph" w:styleId="EndnoteText">
    <w:name w:val="endnote text"/>
    <w:basedOn w:val="Normal"/>
    <w:pPr>
      <w:spacing w:before="0" w:after="0" w:line="240" w:lineRule="auto"/>
    </w:pPr>
    <w:rPr>
      <w:sz w:val="20"/>
      <w:szCs w:val="20"/>
    </w:rPr>
  </w:style>
  <w:style w:type="paragraph" w:customStyle="1" w:styleId="SUPERSChar">
    <w:name w:val="SUPERS Char"/>
    <w:basedOn w:val="Normal"/>
    <w:qFormat/>
    <w:pPr>
      <w:spacing w:before="0" w:after="160" w:line="240" w:lineRule="exact"/>
    </w:pPr>
    <w:rPr>
      <w:rFonts w:ascii="Calibri" w:hAnsi="Calibri"/>
      <w:b/>
      <w:sz w:val="22"/>
      <w:vertAlign w:val="superscript"/>
    </w:rPr>
  </w:style>
  <w:style w:type="paragraph" w:customStyle="1" w:styleId="NoSpacing1">
    <w:name w:val="No Spacing1"/>
    <w:qFormat/>
    <w:rPr>
      <w:rFonts w:ascii="Calibri" w:eastAsia="Calibri" w:hAnsi="Calibri" w:cs="Calibri"/>
      <w:sz w:val="22"/>
      <w:szCs w:val="22"/>
      <w:lang w:val="lt-LT" w:bidi="ar-SA"/>
    </w:rPr>
  </w:style>
  <w:style w:type="paragraph" w:customStyle="1" w:styleId="HTMLiankstoformatuotas">
    <w:name w:val="HTML iš anksto formatuotas"/>
    <w:basedOn w:val="Normal"/>
    <w:qFormat/>
    <w:pPr>
      <w:spacing w:before="0" w:after="0" w:line="240" w:lineRule="auto"/>
    </w:pPr>
    <w:rPr>
      <w:rFonts w:ascii="Courier New" w:eastAsia="Times New Roman" w:hAnsi="Courier New" w:cs="Courier New"/>
      <w:sz w:val="20"/>
      <w:szCs w:val="20"/>
    </w:rPr>
  </w:style>
  <w:style w:type="paragraph" w:customStyle="1" w:styleId="oj-normal">
    <w:name w:val="oj-normal"/>
    <w:basedOn w:val="Normal"/>
    <w:qFormat/>
    <w:pPr>
      <w:spacing w:before="280" w:after="280" w:line="240" w:lineRule="auto"/>
    </w:pPr>
    <w:rPr>
      <w:rFonts w:eastAsia="Times New Roman"/>
      <w:szCs w:val="24"/>
    </w:rPr>
  </w:style>
  <w:style w:type="paragraph" w:customStyle="1" w:styleId="prastasiniatinklio">
    <w:name w:val="Įprastas (žiniatinklio)"/>
    <w:basedOn w:val="Normal"/>
    <w:qFormat/>
    <w:pPr>
      <w:spacing w:before="280" w:after="280" w:line="240" w:lineRule="auto"/>
    </w:pPr>
    <w:rPr>
      <w:rFonts w:eastAsia="Times New Roman"/>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character" w:styleId="FootnoteReference">
    <w:name w:val="footnote reference"/>
    <w:basedOn w:val="DefaultParagraphFont"/>
    <w:uiPriority w:val="99"/>
    <w:semiHidden/>
    <w:unhideWhenUsed/>
    <w:rsid w:val="003F4AFA"/>
    <w:rPr>
      <w:vertAlign w:val="superscript"/>
    </w:rPr>
  </w:style>
  <w:style w:type="paragraph" w:styleId="Revision">
    <w:name w:val="Revision"/>
    <w:hidden/>
    <w:uiPriority w:val="99"/>
    <w:semiHidden/>
    <w:rsid w:val="003E2FF3"/>
    <w:pPr>
      <w:suppressAutoHyphens w:val="0"/>
    </w:pPr>
    <w:rPr>
      <w:rFonts w:ascii="Times New Roman" w:eastAsia="Calibri" w:hAnsi="Times New Roman" w:cs="Times New Roman"/>
      <w:szCs w:val="22"/>
      <w:lang w:val="lt-LT" w:bidi="ar-SA"/>
    </w:rPr>
  </w:style>
  <w:style w:type="paragraph" w:styleId="ListParagraph">
    <w:name w:val="List Paragraph"/>
    <w:basedOn w:val="Normal"/>
    <w:uiPriority w:val="34"/>
    <w:qFormat/>
    <w:rsid w:val="003E2FF3"/>
    <w:pPr>
      <w:ind w:left="720"/>
      <w:contextualSpacing/>
    </w:pPr>
  </w:style>
  <w:style w:type="character" w:styleId="CommentReference">
    <w:name w:val="annotation reference"/>
    <w:basedOn w:val="DefaultParagraphFont"/>
    <w:uiPriority w:val="99"/>
    <w:semiHidden/>
    <w:unhideWhenUsed/>
    <w:rsid w:val="005B6C7A"/>
    <w:rPr>
      <w:sz w:val="16"/>
      <w:szCs w:val="16"/>
    </w:rPr>
  </w:style>
  <w:style w:type="paragraph" w:styleId="CommentText">
    <w:name w:val="annotation text"/>
    <w:basedOn w:val="Normal"/>
    <w:link w:val="CommentTextChar"/>
    <w:uiPriority w:val="99"/>
    <w:unhideWhenUsed/>
    <w:rsid w:val="005B6C7A"/>
    <w:pPr>
      <w:spacing w:line="240" w:lineRule="auto"/>
    </w:pPr>
    <w:rPr>
      <w:sz w:val="20"/>
      <w:szCs w:val="20"/>
    </w:rPr>
  </w:style>
  <w:style w:type="character" w:customStyle="1" w:styleId="CommentTextChar">
    <w:name w:val="Comment Text Char"/>
    <w:basedOn w:val="DefaultParagraphFont"/>
    <w:link w:val="CommentText"/>
    <w:uiPriority w:val="99"/>
    <w:rsid w:val="005B6C7A"/>
    <w:rPr>
      <w:rFonts w:ascii="Times New Roman" w:eastAsia="Calibri" w:hAnsi="Times New Roman" w:cs="Times New Roman"/>
      <w:sz w:val="20"/>
      <w:szCs w:val="20"/>
      <w:lang w:val="lt-LT" w:bidi="ar-SA"/>
    </w:rPr>
  </w:style>
  <w:style w:type="paragraph" w:styleId="CommentSubject">
    <w:name w:val="annotation subject"/>
    <w:basedOn w:val="CommentText"/>
    <w:next w:val="CommentText"/>
    <w:link w:val="CommentSubjectChar"/>
    <w:uiPriority w:val="99"/>
    <w:semiHidden/>
    <w:unhideWhenUsed/>
    <w:rsid w:val="005B6C7A"/>
    <w:rPr>
      <w:b/>
      <w:bCs/>
    </w:rPr>
  </w:style>
  <w:style w:type="character" w:customStyle="1" w:styleId="CommentSubjectChar">
    <w:name w:val="Comment Subject Char"/>
    <w:basedOn w:val="CommentTextChar"/>
    <w:link w:val="CommentSubject"/>
    <w:uiPriority w:val="99"/>
    <w:semiHidden/>
    <w:rsid w:val="005B6C7A"/>
    <w:rPr>
      <w:rFonts w:ascii="Times New Roman" w:eastAsia="Calibri" w:hAnsi="Times New Roman" w:cs="Times New Roman"/>
      <w:b/>
      <w:bCs/>
      <w:sz w:val="20"/>
      <w:szCs w:val="20"/>
      <w:lang w:val="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2014.esinvesticijos.lt/lt/dokumentai?query=FN-005&amp;ff=1" TargetMode="External"/><Relationship Id="rId3" Type="http://schemas.openxmlformats.org/officeDocument/2006/relationships/hyperlink" Target="https://www.esinvesticijos.lt/dokumentai/projekto-dalyviu-informacijos-administravimo-instrukcija" TargetMode="External"/><Relationship Id="rId7" Type="http://schemas.openxmlformats.org/officeDocument/2006/relationships/hyperlink" Target="https://2014.esinvesticijos.lt/lt/dokumentai?query=F&#302;-039&amp;ff=1"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eur-lex.europa.eu/legal-content/LT/TXT/PDF/?uri=CELEX:32018H0604(01)" TargetMode="External"/><Relationship Id="rId6" Type="http://schemas.openxmlformats.org/officeDocument/2006/relationships/hyperlink" Target="https://2014.esinvesticijos.lt/lt/dokumentai?query=F&#302;-005&amp;ff=1" TargetMode="External"/><Relationship Id="rId5" Type="http://schemas.openxmlformats.org/officeDocument/2006/relationships/hyperlink" Target="https://2014.esinvesticijos.lt/lt/dokumentai?query=F&#302;-042&amp;ff=1" TargetMode="External"/><Relationship Id="rId4" Type="http://schemas.openxmlformats.org/officeDocument/2006/relationships/hyperlink" Target="https://www.e-tar.lt/portal/lt/legalAct/14e33320f1ed11ec8fa7d02a65c371ad" TargetMode="External"/><Relationship Id="rId9"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8854BB-849C-4FD1-8618-C617F8E505BA}">
  <ds:schemaRefs>
    <ds:schemaRef ds:uri="http://schemas.microsoft.com/sharepoint/v3/contenttype/forms"/>
  </ds:schemaRefs>
</ds:datastoreItem>
</file>

<file path=customXml/itemProps2.xml><?xml version="1.0" encoding="utf-8"?>
<ds:datastoreItem xmlns:ds="http://schemas.openxmlformats.org/officeDocument/2006/customXml" ds:itemID="{8FE04964-7F6B-407B-BD9E-27C273D62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85A09B-FA4D-4EF4-8772-DC6BE82839B2}">
  <ds:schemaRefs>
    <ds:schemaRef ds:uri="http://schemas.openxmlformats.org/officeDocument/2006/bibliography"/>
  </ds:schemaRefs>
</ds:datastoreItem>
</file>

<file path=customXml/itemProps4.xml><?xml version="1.0" encoding="utf-8"?>
<ds:datastoreItem xmlns:ds="http://schemas.openxmlformats.org/officeDocument/2006/customXml" ds:itemID="{3F2DAC1B-748A-48DE-9E31-DEC20166D191}">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16</Pages>
  <Words>20065</Words>
  <Characters>11438</Characters>
  <Application>Microsoft Office Word</Application>
  <DocSecurity>0</DocSecurity>
  <Lines>95</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Kristina Dženkaitė</cp:lastModifiedBy>
  <cp:revision>25</cp:revision>
  <cp:lastPrinted>2024-03-12T09:00:00Z</cp:lastPrinted>
  <dcterms:created xsi:type="dcterms:W3CDTF">2025-08-01T06:06:00Z</dcterms:created>
  <dcterms:modified xsi:type="dcterms:W3CDTF">2026-05-21T10:28:00Z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ediaServiceImageTags">
    <vt:lpwstr/>
  </property>
  <property fmtid="{D5CDD505-2E9C-101B-9397-08002B2CF9AE}" pid="4" name="MSIP_Label_a420397a-0641-410b-95bd-540c304687bf_Enabled">
    <vt:lpwstr>true</vt:lpwstr>
  </property>
  <property fmtid="{D5CDD505-2E9C-101B-9397-08002B2CF9AE}" pid="5" name="MSIP_Label_a420397a-0641-410b-95bd-540c304687bf_SetDate">
    <vt:lpwstr>2026-05-05T06:52:12Z</vt:lpwstr>
  </property>
  <property fmtid="{D5CDD505-2E9C-101B-9397-08002B2CF9AE}" pid="6" name="MSIP_Label_a420397a-0641-410b-95bd-540c304687bf_Method">
    <vt:lpwstr>Privileged</vt:lpwstr>
  </property>
  <property fmtid="{D5CDD505-2E9C-101B-9397-08002B2CF9AE}" pid="7" name="MSIP_Label_a420397a-0641-410b-95bd-540c304687bf_Name">
    <vt:lpwstr>Vidinio naudojimo informacija</vt:lpwstr>
  </property>
  <property fmtid="{D5CDD505-2E9C-101B-9397-08002B2CF9AE}" pid="8" name="MSIP_Label_a420397a-0641-410b-95bd-540c304687bf_SiteId">
    <vt:lpwstr>f39ec040-58cd-4d1c-8741-11d8232163b4</vt:lpwstr>
  </property>
  <property fmtid="{D5CDD505-2E9C-101B-9397-08002B2CF9AE}" pid="9" name="MSIP_Label_a420397a-0641-410b-95bd-540c304687bf_ActionId">
    <vt:lpwstr>93fd9418-1aeb-4a5d-a2e8-3b6aed3a4690</vt:lpwstr>
  </property>
  <property fmtid="{D5CDD505-2E9C-101B-9397-08002B2CF9AE}" pid="10" name="MSIP_Label_a420397a-0641-410b-95bd-540c304687bf_ContentBits">
    <vt:lpwstr>0</vt:lpwstr>
  </property>
</Properties>
</file>